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062" w:rsidRPr="001F3166" w:rsidRDefault="00B20062" w:rsidP="00673266">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 xml:space="preserve">Meeting </w:t>
      </w:r>
      <w:r w:rsidRPr="001F3166">
        <w:rPr>
          <w:rFonts w:cs="Arial"/>
          <w:bCs/>
          <w:noProof w:val="0"/>
          <w:sz w:val="24"/>
          <w:szCs w:val="24"/>
          <w:lang w:val="de-DE"/>
        </w:rPr>
        <w:t>#</w:t>
      </w:r>
      <w:r>
        <w:rPr>
          <w:rFonts w:cs="Arial"/>
          <w:bCs/>
          <w:noProof w:val="0"/>
          <w:sz w:val="24"/>
          <w:szCs w:val="24"/>
          <w:lang w:val="de-DE"/>
        </w:rPr>
        <w:t>8</w:t>
      </w:r>
      <w:r w:rsidR="00ED2FB8">
        <w:rPr>
          <w:rFonts w:cs="Arial"/>
          <w:bCs/>
          <w:noProof w:val="0"/>
          <w:sz w:val="24"/>
          <w:szCs w:val="24"/>
          <w:lang w:val="de-DE"/>
        </w:rPr>
        <w:t>2</w:t>
      </w:r>
      <w:r>
        <w:rPr>
          <w:b w:val="0"/>
          <w:noProof w:val="0"/>
          <w:sz w:val="24"/>
          <w:szCs w:val="24"/>
          <w:lang w:val="de-DE"/>
        </w:rPr>
        <w:tab/>
        <w:t xml:space="preserve">        </w:t>
      </w:r>
      <w:r>
        <w:rPr>
          <w:b w:val="0"/>
          <w:noProof w:val="0"/>
          <w:sz w:val="24"/>
          <w:szCs w:val="24"/>
          <w:lang w:val="de-DE"/>
        </w:rPr>
        <w:tab/>
      </w:r>
      <w:r>
        <w:rPr>
          <w:b w:val="0"/>
          <w:noProof w:val="0"/>
          <w:sz w:val="24"/>
          <w:szCs w:val="24"/>
          <w:lang w:val="de-DE"/>
        </w:rPr>
        <w:tab/>
        <w:t xml:space="preserve">  </w:t>
      </w:r>
      <w:r w:rsidRPr="008203DB">
        <w:rPr>
          <w:iCs/>
          <w:noProof w:val="0"/>
          <w:sz w:val="24"/>
          <w:szCs w:val="24"/>
          <w:lang w:val="de-DE"/>
        </w:rPr>
        <w:t>R1-1</w:t>
      </w:r>
      <w:r w:rsidR="00C2137B" w:rsidRPr="008203DB">
        <w:rPr>
          <w:rFonts w:eastAsia="Malgun Gothic"/>
          <w:iCs/>
          <w:noProof w:val="0"/>
          <w:sz w:val="24"/>
          <w:szCs w:val="24"/>
          <w:lang w:val="de-DE" w:eastAsia="ko-KR"/>
        </w:rPr>
        <w:t>5</w:t>
      </w:r>
      <w:r w:rsidR="00D57807">
        <w:rPr>
          <w:rFonts w:eastAsia="Malgun Gothic"/>
          <w:iCs/>
          <w:noProof w:val="0"/>
          <w:sz w:val="24"/>
          <w:szCs w:val="24"/>
          <w:lang w:val="de-DE" w:eastAsia="ko-KR"/>
        </w:rPr>
        <w:t>4478</w:t>
      </w:r>
    </w:p>
    <w:p w:rsidR="00B20062" w:rsidRPr="00CE753D" w:rsidRDefault="00ED2FB8" w:rsidP="00B20062">
      <w:pPr>
        <w:pStyle w:val="Header"/>
        <w:spacing w:after="240"/>
        <w:rPr>
          <w:noProof w:val="0"/>
          <w:sz w:val="24"/>
          <w:szCs w:val="24"/>
          <w:lang w:val="en-US"/>
        </w:rPr>
      </w:pPr>
      <w:r w:rsidRPr="00154C7F">
        <w:rPr>
          <w:rFonts w:cs="Arial"/>
          <w:bCs/>
          <w:sz w:val="24"/>
          <w:szCs w:val="24"/>
          <w:lang w:val="en-US" w:eastAsia="ja-JP"/>
        </w:rPr>
        <w:t>Beijing, August, 24</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- 28</w:t>
      </w:r>
      <w:r w:rsidRPr="00154C7F">
        <w:rPr>
          <w:rFonts w:cs="Arial" w:hint="eastAsia"/>
          <w:bCs/>
          <w:sz w:val="24"/>
          <w:szCs w:val="24"/>
          <w:vertAlign w:val="superscript"/>
          <w:lang w:val="en-US" w:eastAsia="ja-JP"/>
        </w:rPr>
        <w:t>th</w:t>
      </w:r>
      <w:r w:rsidRPr="00154C7F">
        <w:rPr>
          <w:rFonts w:cs="Arial" w:hint="eastAsia"/>
          <w:bCs/>
          <w:sz w:val="24"/>
          <w:szCs w:val="24"/>
          <w:lang w:val="en-US" w:eastAsia="ja-JP"/>
        </w:rPr>
        <w:t xml:space="preserve"> </w:t>
      </w:r>
      <w:r w:rsidRPr="00154C7F">
        <w:rPr>
          <w:rFonts w:cs="Arial"/>
          <w:bCs/>
          <w:sz w:val="24"/>
          <w:szCs w:val="24"/>
          <w:lang w:val="en-US" w:eastAsia="ja-JP"/>
        </w:rPr>
        <w:t>Aug</w:t>
      </w:r>
      <w:r w:rsidRPr="00154C7F">
        <w:rPr>
          <w:rFonts w:cs="Arial"/>
          <w:bCs/>
          <w:sz w:val="24"/>
          <w:szCs w:val="24"/>
        </w:rPr>
        <w:t xml:space="preserve">, </w:t>
      </w:r>
      <w:r w:rsidR="00B20062" w:rsidRPr="00CE753D">
        <w:rPr>
          <w:rFonts w:cs="Arial"/>
          <w:bCs/>
          <w:sz w:val="24"/>
          <w:szCs w:val="24"/>
        </w:rPr>
        <w:t>2015</w:t>
      </w:r>
    </w:p>
    <w:bookmarkEnd w:id="0"/>
    <w:bookmarkEnd w:id="1"/>
    <w:p w:rsidR="00B20062" w:rsidRPr="001F3166" w:rsidRDefault="00B20062" w:rsidP="00D57807">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D57807">
        <w:rPr>
          <w:rFonts w:ascii="Arial" w:eastAsia="Malgun Gothic" w:hAnsi="Arial"/>
          <w:sz w:val="24"/>
          <w:szCs w:val="24"/>
          <w:lang w:eastAsia="ko-KR"/>
        </w:rPr>
        <w:t>7</w:t>
      </w:r>
      <w:r w:rsidR="00ED2FB8">
        <w:rPr>
          <w:rFonts w:ascii="Arial" w:eastAsia="Malgun Gothic" w:hAnsi="Arial"/>
          <w:sz w:val="24"/>
          <w:szCs w:val="24"/>
          <w:lang w:eastAsia="ko-KR"/>
        </w:rPr>
        <w:t>.</w:t>
      </w:r>
      <w:r w:rsidR="00D57807">
        <w:rPr>
          <w:rFonts w:ascii="Arial" w:eastAsia="Malgun Gothic" w:hAnsi="Arial"/>
          <w:sz w:val="24"/>
          <w:szCs w:val="24"/>
          <w:lang w:eastAsia="ko-KR"/>
        </w:rPr>
        <w:t>2</w:t>
      </w:r>
      <w:r w:rsidR="00ED2FB8">
        <w:rPr>
          <w:rFonts w:ascii="Arial" w:eastAsia="Malgun Gothic" w:hAnsi="Arial"/>
          <w:sz w:val="24"/>
          <w:szCs w:val="24"/>
          <w:lang w:eastAsia="ko-KR"/>
        </w:rPr>
        <w:t>.</w:t>
      </w:r>
      <w:r w:rsidR="00D57807">
        <w:rPr>
          <w:rFonts w:ascii="Arial" w:eastAsia="Malgun Gothic" w:hAnsi="Arial"/>
          <w:sz w:val="24"/>
          <w:szCs w:val="24"/>
          <w:lang w:eastAsia="ko-KR"/>
        </w:rPr>
        <w:t>1</w:t>
      </w:r>
      <w:r w:rsidR="00ED2FB8">
        <w:rPr>
          <w:rFonts w:ascii="Arial" w:eastAsia="Malgun Gothic" w:hAnsi="Arial"/>
          <w:sz w:val="24"/>
          <w:szCs w:val="24"/>
          <w:lang w:eastAsia="ko-KR"/>
        </w:rPr>
        <w:t>.</w:t>
      </w:r>
      <w:r w:rsidR="00D57807">
        <w:rPr>
          <w:rFonts w:ascii="Arial" w:eastAsia="Malgun Gothic" w:hAnsi="Arial"/>
          <w:sz w:val="24"/>
          <w:szCs w:val="24"/>
          <w:lang w:eastAsia="ko-KR"/>
        </w:rPr>
        <w:t>1</w:t>
      </w:r>
    </w:p>
    <w:p w:rsidR="00B20062" w:rsidRPr="001F3166" w:rsidRDefault="00B20062" w:rsidP="00AC472D">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Pr>
          <w:rFonts w:ascii="Arial" w:hAnsi="Arial"/>
          <w:sz w:val="24"/>
        </w:rPr>
        <w:t>Marvell</w:t>
      </w:r>
      <w:r w:rsidRPr="001F3166">
        <w:rPr>
          <w:rFonts w:ascii="Arial" w:hAnsi="Arial"/>
          <w:sz w:val="24"/>
        </w:rPr>
        <w:t xml:space="preserve"> </w:t>
      </w:r>
    </w:p>
    <w:bookmarkEnd w:id="2"/>
    <w:p w:rsidR="00B20062" w:rsidRPr="004365A7" w:rsidRDefault="00B20062" w:rsidP="0065241F">
      <w:pPr>
        <w:spacing w:after="120"/>
        <w:ind w:right="-177"/>
        <w:rPr>
          <w:rFonts w:asciiTheme="minorBidi" w:hAnsiTheme="minorBidi" w:cstheme="minorBidi"/>
          <w:sz w:val="24"/>
          <w:szCs w:val="24"/>
        </w:rPr>
      </w:pPr>
      <w:r w:rsidRPr="004365A7">
        <w:rPr>
          <w:rFonts w:asciiTheme="minorBidi" w:hAnsiTheme="minorBidi" w:cstheme="minorBidi"/>
          <w:b/>
          <w:sz w:val="24"/>
          <w:szCs w:val="24"/>
        </w:rPr>
        <w:t>Title:</w:t>
      </w:r>
      <w:r w:rsidRPr="004365A7">
        <w:rPr>
          <w:rFonts w:asciiTheme="minorBidi" w:hAnsiTheme="minorBidi" w:cstheme="minorBidi"/>
          <w:sz w:val="24"/>
          <w:szCs w:val="24"/>
        </w:rPr>
        <w:tab/>
      </w:r>
      <w:r w:rsidRPr="004365A7">
        <w:rPr>
          <w:rFonts w:asciiTheme="minorBidi" w:hAnsiTheme="minorBidi" w:cstheme="minorBidi"/>
          <w:sz w:val="24"/>
          <w:szCs w:val="24"/>
        </w:rPr>
        <w:tab/>
        <w:t xml:space="preserve">     </w:t>
      </w:r>
      <w:r w:rsidR="00673266">
        <w:rPr>
          <w:rFonts w:asciiTheme="minorBidi" w:hAnsiTheme="minorBidi" w:cstheme="minorBidi"/>
          <w:sz w:val="24"/>
          <w:szCs w:val="24"/>
        </w:rPr>
        <w:t xml:space="preserve"> </w:t>
      </w:r>
      <w:r w:rsidRPr="004365A7">
        <w:rPr>
          <w:rFonts w:asciiTheme="minorBidi" w:hAnsiTheme="minorBidi" w:cstheme="minorBidi"/>
          <w:sz w:val="24"/>
          <w:szCs w:val="24"/>
        </w:rPr>
        <w:t xml:space="preserve">  </w:t>
      </w:r>
      <w:r w:rsidR="00673266" w:rsidRPr="00673266">
        <w:rPr>
          <w:rFonts w:asciiTheme="minorBidi" w:hAnsiTheme="minorBidi" w:cstheme="minorBidi"/>
          <w:sz w:val="8"/>
          <w:szCs w:val="8"/>
        </w:rPr>
        <w:t xml:space="preserve"> </w:t>
      </w:r>
      <w:r w:rsidR="0065241F">
        <w:rPr>
          <w:rFonts w:asciiTheme="minorBidi" w:hAnsiTheme="minorBidi" w:cstheme="minorBidi"/>
          <w:sz w:val="24"/>
          <w:szCs w:val="24"/>
        </w:rPr>
        <w:t xml:space="preserve">MTC </w:t>
      </w:r>
      <w:r w:rsidR="00A1232F">
        <w:rPr>
          <w:rFonts w:asciiTheme="minorBidi" w:hAnsiTheme="minorBidi" w:cstheme="minorBidi"/>
          <w:sz w:val="24"/>
          <w:szCs w:val="24"/>
        </w:rPr>
        <w:t xml:space="preserve">Downlink </w:t>
      </w:r>
      <w:r w:rsidR="0065241F">
        <w:rPr>
          <w:rFonts w:asciiTheme="minorBidi" w:hAnsiTheme="minorBidi" w:cstheme="minorBidi"/>
          <w:sz w:val="24"/>
          <w:szCs w:val="24"/>
        </w:rPr>
        <w:t xml:space="preserve">Narrowband Locations </w:t>
      </w:r>
    </w:p>
    <w:p w:rsidR="00B20062" w:rsidRPr="001F3166" w:rsidRDefault="00B20062" w:rsidP="00B20062">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rsidR="006D4B15" w:rsidRDefault="00A764AC" w:rsidP="00A764AC">
      <w:pPr>
        <w:pStyle w:val="Heading1"/>
        <w:numPr>
          <w:ilvl w:val="0"/>
          <w:numId w:val="1"/>
        </w:numPr>
        <w:rPr>
          <w:color w:val="auto"/>
        </w:rPr>
      </w:pPr>
      <w:r>
        <w:rPr>
          <w:color w:val="auto"/>
        </w:rPr>
        <w:t>Introduction</w:t>
      </w:r>
    </w:p>
    <w:p w:rsidR="008517C5" w:rsidRDefault="008517C5" w:rsidP="00A1232F">
      <w:r>
        <w:t>Some agreements were reached in RAN1 #81 regarding the definition of a Narrowband</w:t>
      </w:r>
      <w:r w:rsidR="007B1A71">
        <w:t xml:space="preserve"> for Rel. 13 MTC [1]</w:t>
      </w:r>
      <w:r>
        <w:t>:</w:t>
      </w:r>
    </w:p>
    <w:p w:rsidR="008517C5" w:rsidRPr="008517C5" w:rsidRDefault="008517C5" w:rsidP="008517C5">
      <w:pPr>
        <w:pStyle w:val="PlainText"/>
        <w:numPr>
          <w:ilvl w:val="0"/>
          <w:numId w:val="29"/>
        </w:numPr>
        <w:tabs>
          <w:tab w:val="clear" w:pos="720"/>
          <w:tab w:val="num" w:pos="360"/>
        </w:tabs>
        <w:ind w:left="360"/>
        <w:rPr>
          <w:rFonts w:ascii="Times New Roman" w:hAnsi="Times New Roman"/>
          <w:i/>
          <w:iCs/>
          <w:lang w:val="en-US" w:eastAsia="ja-JP"/>
        </w:rPr>
      </w:pPr>
      <w:r w:rsidRPr="008517C5">
        <w:rPr>
          <w:rFonts w:ascii="Times New Roman" w:hAnsi="Times New Roman"/>
          <w:i/>
          <w:iCs/>
          <w:lang w:val="en-US" w:eastAsia="ja-JP"/>
        </w:rPr>
        <w:t>A narrowband is defined as a set of contiguous PRBs</w:t>
      </w:r>
    </w:p>
    <w:p w:rsidR="008517C5" w:rsidRPr="008517C5" w:rsidRDefault="008517C5" w:rsidP="008517C5">
      <w:pPr>
        <w:pStyle w:val="PlainText"/>
        <w:numPr>
          <w:ilvl w:val="1"/>
          <w:numId w:val="29"/>
        </w:numPr>
        <w:ind w:left="1080"/>
        <w:rPr>
          <w:rFonts w:ascii="Times New Roman" w:hAnsi="Times New Roman"/>
          <w:i/>
          <w:iCs/>
          <w:lang w:val="en-US" w:eastAsia="ja-JP"/>
        </w:rPr>
      </w:pPr>
      <w:r w:rsidRPr="008517C5">
        <w:rPr>
          <w:rFonts w:ascii="Times New Roman" w:hAnsi="Times New Roman" w:hint="eastAsia"/>
          <w:i/>
          <w:iCs/>
          <w:lang w:val="en-US" w:eastAsia="ja-JP"/>
        </w:rPr>
        <w:t xml:space="preserve">At least for TDD, </w:t>
      </w:r>
      <w:r w:rsidRPr="008517C5">
        <w:rPr>
          <w:rFonts w:ascii="Times New Roman" w:hAnsi="Times New Roman"/>
          <w:i/>
          <w:iCs/>
          <w:lang w:val="en-US" w:eastAsia="ja-JP"/>
        </w:rPr>
        <w:t>the same set of narrowbands are specified for both DL and UL</w:t>
      </w:r>
    </w:p>
    <w:p w:rsidR="008517C5" w:rsidRPr="008517C5" w:rsidRDefault="008517C5" w:rsidP="008517C5">
      <w:pPr>
        <w:pStyle w:val="PlainText"/>
        <w:numPr>
          <w:ilvl w:val="1"/>
          <w:numId w:val="29"/>
        </w:numPr>
        <w:ind w:left="1080"/>
        <w:rPr>
          <w:rFonts w:ascii="Times New Roman" w:hAnsi="Times New Roman"/>
          <w:i/>
          <w:iCs/>
          <w:lang w:val="en-US" w:eastAsia="ja-JP"/>
        </w:rPr>
      </w:pPr>
      <w:r w:rsidRPr="008517C5">
        <w:rPr>
          <w:rFonts w:ascii="Times New Roman" w:hAnsi="Times New Roman"/>
          <w:i/>
          <w:iCs/>
          <w:lang w:val="en-US" w:eastAsia="ja-JP"/>
        </w:rPr>
        <w:t>NOTE: This avoids additional retuning in TDD</w:t>
      </w:r>
    </w:p>
    <w:p w:rsidR="008517C5" w:rsidRPr="008517C5" w:rsidRDefault="008517C5" w:rsidP="008517C5">
      <w:pPr>
        <w:pStyle w:val="PlainText"/>
        <w:numPr>
          <w:ilvl w:val="0"/>
          <w:numId w:val="29"/>
        </w:numPr>
        <w:ind w:left="360"/>
        <w:rPr>
          <w:rFonts w:ascii="Times New Roman" w:hAnsi="Times New Roman"/>
          <w:i/>
          <w:iCs/>
          <w:lang w:val="en-US" w:eastAsia="ja-JP"/>
        </w:rPr>
      </w:pPr>
      <w:r w:rsidRPr="008517C5">
        <w:rPr>
          <w:rFonts w:ascii="Times New Roman" w:hAnsi="Times New Roman"/>
          <w:i/>
          <w:iCs/>
          <w:lang w:val="en-US" w:eastAsia="ja-JP"/>
        </w:rPr>
        <w:t>Narrowbands are non-overlapping</w:t>
      </w:r>
    </w:p>
    <w:p w:rsidR="008517C5" w:rsidRPr="008517C5" w:rsidRDefault="008517C5" w:rsidP="008517C5">
      <w:pPr>
        <w:pStyle w:val="PlainText"/>
        <w:numPr>
          <w:ilvl w:val="1"/>
          <w:numId w:val="29"/>
        </w:numPr>
        <w:ind w:left="1080"/>
        <w:rPr>
          <w:rFonts w:ascii="Times New Roman" w:hAnsi="Times New Roman"/>
          <w:i/>
          <w:iCs/>
          <w:lang w:val="en-US" w:eastAsia="ja-JP"/>
        </w:rPr>
      </w:pPr>
      <w:r w:rsidRPr="008517C5">
        <w:rPr>
          <w:rFonts w:ascii="Times New Roman" w:hAnsi="Times New Roman" w:hint="eastAsia"/>
          <w:i/>
          <w:iCs/>
          <w:lang w:val="en-US" w:eastAsia="ja-JP"/>
        </w:rPr>
        <w:t>FFS: S</w:t>
      </w:r>
      <w:r w:rsidRPr="008517C5">
        <w:rPr>
          <w:rFonts w:ascii="Times New Roman" w:hAnsi="Times New Roman"/>
          <w:i/>
          <w:iCs/>
          <w:lang w:val="en-US" w:eastAsia="ja-JP"/>
        </w:rPr>
        <w:t>ome PRBs may not be included in any narrowband</w:t>
      </w:r>
    </w:p>
    <w:p w:rsidR="008517C5" w:rsidRPr="008517C5" w:rsidRDefault="008517C5" w:rsidP="008517C5">
      <w:pPr>
        <w:pStyle w:val="PlainText"/>
        <w:numPr>
          <w:ilvl w:val="2"/>
          <w:numId w:val="29"/>
        </w:numPr>
        <w:ind w:left="1800"/>
        <w:rPr>
          <w:rFonts w:ascii="Times New Roman" w:hAnsi="Times New Roman"/>
          <w:i/>
          <w:iCs/>
          <w:lang w:val="en-US" w:eastAsia="ja-JP"/>
        </w:rPr>
      </w:pPr>
      <w:r w:rsidRPr="008517C5">
        <w:rPr>
          <w:rFonts w:ascii="Times New Roman" w:hAnsi="Times New Roman"/>
          <w:i/>
          <w:iCs/>
          <w:lang w:val="en-US" w:eastAsia="ja-JP"/>
        </w:rPr>
        <w:t>FFS the location of these PRB(s) (e.g., edge(s), near the center, …)</w:t>
      </w:r>
    </w:p>
    <w:p w:rsidR="008517C5" w:rsidRPr="008517C5" w:rsidRDefault="008517C5" w:rsidP="008517C5">
      <w:pPr>
        <w:pStyle w:val="PlainText"/>
        <w:numPr>
          <w:ilvl w:val="1"/>
          <w:numId w:val="29"/>
        </w:numPr>
        <w:ind w:left="1080"/>
        <w:rPr>
          <w:rFonts w:ascii="Times New Roman" w:hAnsi="Times New Roman"/>
          <w:i/>
          <w:iCs/>
          <w:lang w:val="en-US" w:eastAsia="ja-JP"/>
        </w:rPr>
      </w:pPr>
      <w:r w:rsidRPr="008517C5">
        <w:rPr>
          <w:rFonts w:ascii="Times New Roman" w:hAnsi="Times New Roman" w:hint="eastAsia"/>
          <w:i/>
          <w:iCs/>
          <w:lang w:val="en-US" w:eastAsia="ja-JP"/>
        </w:rPr>
        <w:t>T</w:t>
      </w:r>
      <w:r w:rsidRPr="008517C5">
        <w:rPr>
          <w:rFonts w:ascii="Times New Roman" w:hAnsi="Times New Roman"/>
          <w:i/>
          <w:iCs/>
          <w:lang w:val="en-US" w:eastAsia="ja-JP"/>
        </w:rPr>
        <w:t>he PSS/SSS/PBCH may be in one or more narrowbands</w:t>
      </w:r>
      <w:r w:rsidRPr="008517C5">
        <w:rPr>
          <w:rFonts w:ascii="Times New Roman" w:hAnsi="Times New Roman" w:hint="eastAsia"/>
          <w:i/>
          <w:iCs/>
          <w:lang w:val="en-US" w:eastAsia="ja-JP"/>
        </w:rPr>
        <w:t>. PSS/SSS/PBCH is independent of any narrowbands</w:t>
      </w:r>
    </w:p>
    <w:p w:rsidR="008517C5" w:rsidRPr="008517C5" w:rsidRDefault="008517C5" w:rsidP="008517C5">
      <w:pPr>
        <w:pStyle w:val="PlainText"/>
        <w:numPr>
          <w:ilvl w:val="2"/>
          <w:numId w:val="29"/>
        </w:numPr>
        <w:ind w:left="1800"/>
        <w:rPr>
          <w:rFonts w:ascii="Times New Roman" w:hAnsi="Times New Roman"/>
          <w:i/>
          <w:iCs/>
          <w:lang w:val="en-US" w:eastAsia="ja-JP"/>
        </w:rPr>
      </w:pPr>
      <w:r w:rsidRPr="008517C5">
        <w:rPr>
          <w:rFonts w:ascii="Times New Roman" w:hAnsi="Times New Roman"/>
          <w:i/>
          <w:iCs/>
          <w:lang w:val="en-US" w:eastAsia="ja-JP"/>
        </w:rPr>
        <w:t>In case a UE needs to monitor PSS/SSS/PBCH of a cell, it can be retuned to the center 72 subcarriers (excluding system DC)</w:t>
      </w:r>
    </w:p>
    <w:p w:rsidR="008517C5" w:rsidRPr="008517C5" w:rsidRDefault="008517C5" w:rsidP="008517C5">
      <w:pPr>
        <w:pStyle w:val="PlainText"/>
        <w:numPr>
          <w:ilvl w:val="0"/>
          <w:numId w:val="30"/>
        </w:numPr>
        <w:ind w:left="360"/>
        <w:rPr>
          <w:rFonts w:ascii="Times New Roman" w:hAnsi="Times New Roman"/>
          <w:i/>
          <w:iCs/>
          <w:lang w:val="en-US" w:eastAsia="ja-JP"/>
        </w:rPr>
      </w:pPr>
      <w:r w:rsidRPr="008517C5">
        <w:rPr>
          <w:rFonts w:ascii="Times New Roman" w:hAnsi="Times New Roman" w:hint="eastAsia"/>
          <w:i/>
          <w:iCs/>
          <w:lang w:val="en-US" w:eastAsia="ja-JP"/>
        </w:rPr>
        <w:t xml:space="preserve">FFS how the </w:t>
      </w:r>
      <w:r w:rsidRPr="008517C5">
        <w:rPr>
          <w:rFonts w:ascii="Times New Roman" w:hAnsi="Times New Roman"/>
          <w:i/>
          <w:iCs/>
          <w:lang w:val="en-US" w:eastAsia="ja-JP"/>
        </w:rPr>
        <w:t>narrow</w:t>
      </w:r>
      <w:r w:rsidRPr="008517C5">
        <w:rPr>
          <w:rFonts w:ascii="Times New Roman" w:hAnsi="Times New Roman" w:hint="eastAsia"/>
          <w:i/>
          <w:iCs/>
          <w:lang w:val="en-US" w:eastAsia="ja-JP"/>
        </w:rPr>
        <w:t>bands are defined across the system BW</w:t>
      </w:r>
    </w:p>
    <w:p w:rsidR="008517C5" w:rsidRPr="008517C5" w:rsidRDefault="008517C5" w:rsidP="008517C5">
      <w:pPr>
        <w:pStyle w:val="PlainText"/>
        <w:numPr>
          <w:ilvl w:val="0"/>
          <w:numId w:val="30"/>
        </w:numPr>
        <w:ind w:left="360"/>
        <w:rPr>
          <w:rFonts w:ascii="Times New Roman" w:hAnsi="Times New Roman"/>
          <w:i/>
          <w:iCs/>
          <w:lang w:val="en-US" w:eastAsia="ja-JP"/>
        </w:rPr>
      </w:pPr>
      <w:r w:rsidRPr="008517C5">
        <w:rPr>
          <w:rFonts w:ascii="Times New Roman" w:hAnsi="Times New Roman"/>
          <w:i/>
          <w:iCs/>
          <w:lang w:val="en-US" w:eastAsia="ja-JP"/>
        </w:rPr>
        <w:t>FFS if an offset is allowed for aligning UL narrowbands with legacy PUCCH and/or PRA</w:t>
      </w:r>
      <w:r w:rsidRPr="008517C5">
        <w:rPr>
          <w:rFonts w:ascii="Times New Roman" w:hAnsi="Times New Roman" w:hint="eastAsia"/>
          <w:i/>
          <w:iCs/>
          <w:lang w:val="en-US" w:eastAsia="ja-JP"/>
        </w:rPr>
        <w:t>CH</w:t>
      </w:r>
    </w:p>
    <w:p w:rsidR="009878A8" w:rsidRDefault="009878A8" w:rsidP="005C76EF">
      <w:pPr>
        <w:pStyle w:val="NoSpacing"/>
      </w:pPr>
    </w:p>
    <w:p w:rsidR="007B1A71" w:rsidRDefault="007B1A71" w:rsidP="00B94417">
      <w:pPr>
        <w:pStyle w:val="NoSpacing"/>
      </w:pPr>
      <w:r w:rsidRPr="00154C7F">
        <w:t xml:space="preserve">This </w:t>
      </w:r>
      <w:r w:rsidRPr="004D02DA">
        <w:t>contribution</w:t>
      </w:r>
      <w:r w:rsidRPr="00154C7F">
        <w:t xml:space="preserve"> </w:t>
      </w:r>
      <w:r>
        <w:t>considers</w:t>
      </w:r>
      <w:r w:rsidRPr="00154C7F">
        <w:t xml:space="preserve"> the </w:t>
      </w:r>
      <w:r>
        <w:t xml:space="preserve">location of the Rel. 13 MTC </w:t>
      </w:r>
      <w:r w:rsidR="00B94417">
        <w:t>d</w:t>
      </w:r>
      <w:r w:rsidR="00A1232F">
        <w:t xml:space="preserve">ownlink </w:t>
      </w:r>
      <w:r>
        <w:t>Narrowbands within the system bandwidth.</w:t>
      </w:r>
    </w:p>
    <w:p w:rsidR="007B1A71" w:rsidRDefault="00A1232F" w:rsidP="007B1A71">
      <w:pPr>
        <w:pStyle w:val="Heading1"/>
        <w:numPr>
          <w:ilvl w:val="0"/>
          <w:numId w:val="1"/>
        </w:numPr>
        <w:rPr>
          <w:color w:val="auto"/>
        </w:rPr>
      </w:pPr>
      <w:r>
        <w:rPr>
          <w:color w:val="auto"/>
        </w:rPr>
        <w:t>Narrowband Location Considerations</w:t>
      </w:r>
    </w:p>
    <w:p w:rsidR="000D2956" w:rsidRDefault="00A1232F" w:rsidP="00E9490F">
      <w:r>
        <w:t>We list several considerations for de</w:t>
      </w:r>
      <w:r w:rsidR="000D2956">
        <w:t>fining the Narrowband locations</w:t>
      </w:r>
      <w:r w:rsidR="00E9490F">
        <w:t>, and the location of the extra PRBs that do not fit in the 6 PRB Narrowbands</w:t>
      </w:r>
      <w:r>
        <w:t>.</w:t>
      </w:r>
    </w:p>
    <w:p w:rsidR="00A1232F" w:rsidRDefault="00A1232F" w:rsidP="00A1232F">
      <w:pPr>
        <w:pStyle w:val="ListParagraph"/>
        <w:numPr>
          <w:ilvl w:val="0"/>
          <w:numId w:val="36"/>
        </w:numPr>
      </w:pPr>
      <w:r>
        <w:rPr>
          <w:b/>
          <w:bCs/>
        </w:rPr>
        <w:t>Location of DC B</w:t>
      </w:r>
      <w:r w:rsidRPr="00A1232F">
        <w:rPr>
          <w:b/>
          <w:bCs/>
        </w:rPr>
        <w:t>in within the Narrowband</w:t>
      </w:r>
      <w:r>
        <w:t xml:space="preserve">: </w:t>
      </w:r>
    </w:p>
    <w:p w:rsidR="00A1232F" w:rsidRDefault="00A1232F" w:rsidP="00E9490F">
      <w:r>
        <w:t xml:space="preserve">From an implementation complexity perspective, it is desirable to minimize the number of valid locations for the </w:t>
      </w:r>
      <w:r w:rsidR="00B94417">
        <w:t xml:space="preserve">extra </w:t>
      </w:r>
      <w:r>
        <w:t xml:space="preserve">empty DC bin on the downlink. Two cases require support at a minimum: Narrowband without </w:t>
      </w:r>
      <w:r w:rsidR="00E9490F">
        <w:t xml:space="preserve">the downlink </w:t>
      </w:r>
      <w:r>
        <w:t xml:space="preserve">DC bin and a Narrowband with </w:t>
      </w:r>
      <w:r w:rsidR="00E9490F">
        <w:t>this</w:t>
      </w:r>
      <w:r w:rsidR="00B94417">
        <w:t xml:space="preserve"> extra</w:t>
      </w:r>
      <w:r w:rsidR="00E9490F">
        <w:t xml:space="preserve"> </w:t>
      </w:r>
      <w:r>
        <w:t>DC bin at the center (for PBCH/PSS/SSS). Additional cases may need to be supported – depending on the Narrowband locations. For example, if the Narrowband</w:t>
      </w:r>
      <w:r w:rsidR="00E9490F">
        <w:t>s</w:t>
      </w:r>
      <w:r>
        <w:t xml:space="preserve"> are numbered contiguously from the left side of the spectrum</w:t>
      </w:r>
      <w:r w:rsidR="00E9490F">
        <w:t>,</w:t>
      </w:r>
      <w:r>
        <w:t xml:space="preserve"> the following additional locations of the DC bin need to be supported (Narrowband PRBs are numbered left to right from 1 through 6):</w:t>
      </w:r>
    </w:p>
    <w:p w:rsidR="00A1232F" w:rsidRDefault="00A1232F" w:rsidP="00A1232F">
      <w:pPr>
        <w:pStyle w:val="ListParagraph"/>
        <w:numPr>
          <w:ilvl w:val="0"/>
          <w:numId w:val="35"/>
        </w:numPr>
      </w:pPr>
      <w:r>
        <w:t>5 MHz System BW: At the middle of PRB #1</w:t>
      </w:r>
    </w:p>
    <w:p w:rsidR="00A1232F" w:rsidRDefault="00A1232F" w:rsidP="00A1232F">
      <w:pPr>
        <w:pStyle w:val="ListParagraph"/>
        <w:numPr>
          <w:ilvl w:val="0"/>
          <w:numId w:val="35"/>
        </w:numPr>
      </w:pPr>
      <w:r>
        <w:t>10 MHz System BW: Between PRB #1 and PRB #2</w:t>
      </w:r>
    </w:p>
    <w:p w:rsidR="00A1232F" w:rsidRDefault="00A1232F" w:rsidP="00A1232F">
      <w:pPr>
        <w:pStyle w:val="ListParagraph"/>
        <w:numPr>
          <w:ilvl w:val="0"/>
          <w:numId w:val="35"/>
        </w:numPr>
      </w:pPr>
      <w:r>
        <w:t>15 MHz System BW: At the middle of PRB #2</w:t>
      </w:r>
    </w:p>
    <w:p w:rsidR="00A1232F" w:rsidRDefault="00A1232F" w:rsidP="00A1232F">
      <w:pPr>
        <w:pStyle w:val="ListParagraph"/>
        <w:numPr>
          <w:ilvl w:val="0"/>
          <w:numId w:val="35"/>
        </w:numPr>
      </w:pPr>
      <w:r>
        <w:t>20 MHz System BW: Between PRB #2 and PRB #3</w:t>
      </w:r>
    </w:p>
    <w:p w:rsidR="00A1232F" w:rsidRDefault="00E9490F" w:rsidP="00B94417">
      <w:r>
        <w:t xml:space="preserve">Therefore </w:t>
      </w:r>
      <w:r w:rsidR="00A1232F">
        <w:t>depending on the Narrowband locations, a number of possible DC bin locations may need to be handled at the receiver, thus increasing complexity.</w:t>
      </w:r>
    </w:p>
    <w:p w:rsidR="00B94417" w:rsidRDefault="00B94417">
      <w:pPr>
        <w:spacing w:after="200" w:line="276" w:lineRule="auto"/>
        <w:rPr>
          <w:b/>
          <w:bCs/>
        </w:rPr>
      </w:pPr>
      <w:r>
        <w:rPr>
          <w:b/>
          <w:bCs/>
        </w:rPr>
        <w:br w:type="page"/>
      </w:r>
    </w:p>
    <w:p w:rsidR="00D41304" w:rsidRDefault="00D41304" w:rsidP="00D41304">
      <w:pPr>
        <w:pStyle w:val="ListParagraph"/>
        <w:numPr>
          <w:ilvl w:val="0"/>
          <w:numId w:val="36"/>
        </w:numPr>
      </w:pPr>
      <w:r>
        <w:rPr>
          <w:b/>
          <w:bCs/>
        </w:rPr>
        <w:lastRenderedPageBreak/>
        <w:t>Symmetry relative to the full system bandwidth carrier frequency</w:t>
      </w:r>
      <w:r>
        <w:t xml:space="preserve">: </w:t>
      </w:r>
    </w:p>
    <w:p w:rsidR="00D41304" w:rsidRDefault="00D41304" w:rsidP="00B94417">
      <w:r>
        <w:t xml:space="preserve">Arranging the Narrowbands symmetrically about the central bin of the system bandwidth allows some simplification in the implementation of the phase compensation needed to process Rel. 13 MTC signals at the receiver; the phase offsets are created due to the difference between </w:t>
      </w:r>
      <w:r w:rsidR="00B94417">
        <w:t>MTC UE carrier frequency and the eNodeB carrier frequency with respect to the full system BW</w:t>
      </w:r>
      <w:r>
        <w:t xml:space="preserve"> [2]. In the case of a symmetric Narrowband mapping the phase compensation between each pair of symmetric Narrowbands are related by a simple complex conjugat</w:t>
      </w:r>
      <w:r w:rsidR="004D140E">
        <w:t>ion</w:t>
      </w:r>
      <w:r>
        <w:t>.</w:t>
      </w:r>
    </w:p>
    <w:p w:rsidR="009878A8" w:rsidRDefault="009878A8" w:rsidP="009878A8">
      <w:pPr>
        <w:pStyle w:val="ListParagraph"/>
        <w:numPr>
          <w:ilvl w:val="0"/>
          <w:numId w:val="36"/>
        </w:numPr>
      </w:pPr>
      <w:r>
        <w:rPr>
          <w:b/>
          <w:bCs/>
        </w:rPr>
        <w:t>Fragmentation</w:t>
      </w:r>
      <w:r>
        <w:t xml:space="preserve">: </w:t>
      </w:r>
    </w:p>
    <w:p w:rsidR="005761C7" w:rsidRPr="005761C7" w:rsidRDefault="009878A8" w:rsidP="005761C7">
      <w:r>
        <w:t xml:space="preserve">It would be desirable to </w:t>
      </w:r>
      <w:r w:rsidR="005761C7">
        <w:t xml:space="preserve">contiguously </w:t>
      </w:r>
      <w:r>
        <w:t xml:space="preserve">group the remaining PRBs that are left over after forming the 6-PRB Narrowbands in order to more efficiently use them </w:t>
      </w:r>
      <w:r w:rsidR="005761C7">
        <w:t xml:space="preserve">for legacy LTE UEs. Using these PRBs for Rel. 13 MTC UEs in some way is also still being considered (an agreement from RAN1 #81 states: </w:t>
      </w:r>
      <w:r w:rsidR="005761C7" w:rsidRPr="005761C7">
        <w:rPr>
          <w:i/>
          <w:iCs/>
        </w:rPr>
        <w:t>FFS: whether and/or how to utilize PRBs not included in any narrowband of 6PRBs</w:t>
      </w:r>
      <w:r w:rsidR="005761C7">
        <w:rPr>
          <w:i/>
          <w:iCs/>
        </w:rPr>
        <w:t>).</w:t>
      </w:r>
    </w:p>
    <w:p w:rsidR="009878A8" w:rsidRDefault="009878A8" w:rsidP="009878A8">
      <w:pPr>
        <w:pStyle w:val="ListParagraph"/>
        <w:numPr>
          <w:ilvl w:val="0"/>
          <w:numId w:val="36"/>
        </w:numPr>
      </w:pPr>
      <w:r>
        <w:rPr>
          <w:b/>
          <w:bCs/>
        </w:rPr>
        <w:t>Overlap with PBCH/PSS/SSS</w:t>
      </w:r>
      <w:r>
        <w:t xml:space="preserve">: </w:t>
      </w:r>
    </w:p>
    <w:p w:rsidR="00171593" w:rsidRDefault="00171593" w:rsidP="00171593">
      <w:r>
        <w:t>It is desirable to minimize the overlap of the Narrowbands with the PBCH/PSS/SSS transmissions since this reduces the capacity of the Narrowband.</w:t>
      </w:r>
    </w:p>
    <w:p w:rsidR="009878A8" w:rsidRDefault="009878A8" w:rsidP="007B1A71">
      <w:pPr>
        <w:pStyle w:val="NoSpacing"/>
      </w:pPr>
    </w:p>
    <w:p w:rsidR="000C092D" w:rsidRDefault="000C092D" w:rsidP="00171593">
      <w:pPr>
        <w:spacing w:after="200" w:line="276" w:lineRule="auto"/>
      </w:pPr>
    </w:p>
    <w:p w:rsidR="00A1232F" w:rsidRDefault="00171593" w:rsidP="00B94417">
      <w:pPr>
        <w:spacing w:after="200" w:line="276" w:lineRule="auto"/>
      </w:pPr>
      <w:r>
        <w:t xml:space="preserve">Based on the above considerations we recommend </w:t>
      </w:r>
      <w:r w:rsidR="00B94417">
        <w:t>concentrating</w:t>
      </w:r>
      <w:r>
        <w:t xml:space="preserve"> the extra PRBs not included in the Narrowbands symmetrically </w:t>
      </w:r>
      <w:r w:rsidR="00B94417">
        <w:t>around</w:t>
      </w:r>
      <w:r>
        <w:t xml:space="preserve"> the full system bandwidth center frequency.</w:t>
      </w:r>
      <w:r w:rsidR="00B94417">
        <w:t xml:space="preserve"> These are the light blue PRBs shown below. </w:t>
      </w:r>
    </w:p>
    <w:p w:rsidR="00171593" w:rsidRDefault="000C092D" w:rsidP="00B94417">
      <w:pPr>
        <w:pStyle w:val="Caption"/>
      </w:pPr>
      <w:r>
        <w:object w:dxaOrig="29772" w:dyaOrig="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05pt;height:101.95pt" o:ole="">
            <v:imagedata r:id="rId7" o:title=""/>
          </v:shape>
          <o:OLEObject Type="Embed" ProgID="" ShapeID="_x0000_i1025" DrawAspect="Content" ObjectID="_1501001907" r:id="rId8"/>
        </w:object>
      </w:r>
      <w:r w:rsidR="00B94417">
        <w:t xml:space="preserve">Figure </w:t>
      </w:r>
      <w:r w:rsidR="00D57807">
        <w:fldChar w:fldCharType="begin"/>
      </w:r>
      <w:r w:rsidR="00D57807">
        <w:instrText xml:space="preserve"> SEQ Figure \* ARABIC </w:instrText>
      </w:r>
      <w:r w:rsidR="00D57807">
        <w:fldChar w:fldCharType="separate"/>
      </w:r>
      <w:r w:rsidR="00B94417">
        <w:rPr>
          <w:noProof/>
        </w:rPr>
        <w:t>1</w:t>
      </w:r>
      <w:r w:rsidR="00D57807">
        <w:rPr>
          <w:noProof/>
        </w:rPr>
        <w:fldChar w:fldCharType="end"/>
      </w:r>
      <w:r w:rsidR="00B94417">
        <w:t>: Recommended definition for the location of the 6-PRB Narrowbands, and the location of the extra PRBs – which are concentrated symmetrically at the center of the system bandwidth (blue colored PRBs).</w:t>
      </w:r>
    </w:p>
    <w:p w:rsidR="00B94417" w:rsidRPr="00B94417" w:rsidRDefault="00B94417" w:rsidP="00B94417"/>
    <w:p w:rsidR="00171593" w:rsidRDefault="000C092D" w:rsidP="000C092D">
      <w:r>
        <w:t>Summarizing</w:t>
      </w:r>
      <w:r w:rsidR="00171593">
        <w:t xml:space="preserve"> the discussion </w:t>
      </w:r>
      <w:r w:rsidR="000F5784">
        <w:t>above</w:t>
      </w:r>
      <w:r w:rsidR="00171593">
        <w:t xml:space="preserve">, </w:t>
      </w:r>
      <w:r>
        <w:t>this</w:t>
      </w:r>
      <w:r w:rsidR="00171593">
        <w:t xml:space="preserve"> mapping has the following advantages</w:t>
      </w:r>
    </w:p>
    <w:p w:rsidR="000F5784" w:rsidRDefault="000F5784" w:rsidP="000F5784">
      <w:pPr>
        <w:pStyle w:val="ListParagraph"/>
        <w:numPr>
          <w:ilvl w:val="0"/>
          <w:numId w:val="38"/>
        </w:numPr>
      </w:pPr>
      <w:r>
        <w:t>None of the Narrowbands include the DC bin – simplifying the RE extraction implementation in the UE</w:t>
      </w:r>
      <w:r w:rsidR="00D7442F">
        <w:t>.</w:t>
      </w:r>
    </w:p>
    <w:p w:rsidR="000F5784" w:rsidRDefault="000F5784" w:rsidP="000F5784">
      <w:pPr>
        <w:pStyle w:val="ListParagraph"/>
        <w:numPr>
          <w:ilvl w:val="0"/>
          <w:numId w:val="38"/>
        </w:numPr>
      </w:pPr>
      <w:r>
        <w:t>The Narrowbands are arranged symmetrically, reducing the number of cases to handle for phase compensation.</w:t>
      </w:r>
    </w:p>
    <w:p w:rsidR="000F5784" w:rsidRDefault="000F5784" w:rsidP="000F5784">
      <w:pPr>
        <w:pStyle w:val="ListParagraph"/>
        <w:numPr>
          <w:ilvl w:val="0"/>
          <w:numId w:val="38"/>
        </w:numPr>
      </w:pPr>
      <w:r>
        <w:t>Extra PRBs are grouped together, enabling more efficient usage for legacy (or MTC) UEs</w:t>
      </w:r>
      <w:r w:rsidR="00D7442F">
        <w:t>.</w:t>
      </w:r>
    </w:p>
    <w:p w:rsidR="000F5784" w:rsidRDefault="000F5784" w:rsidP="000F5784">
      <w:pPr>
        <w:pStyle w:val="ListParagraph"/>
        <w:numPr>
          <w:ilvl w:val="0"/>
          <w:numId w:val="38"/>
        </w:numPr>
      </w:pPr>
      <w:r>
        <w:t>The overlap with the PBCH/PSS/SSS is minimized when possible</w:t>
      </w:r>
      <w:r w:rsidR="00D7442F">
        <w:t>.</w:t>
      </w:r>
    </w:p>
    <w:p w:rsidR="00B94417" w:rsidRPr="000F5784" w:rsidRDefault="00B94417" w:rsidP="00B94417"/>
    <w:p w:rsidR="00171593" w:rsidRDefault="00171593" w:rsidP="000C092D">
      <w:pPr>
        <w:spacing w:after="200" w:line="276" w:lineRule="auto"/>
        <w:rPr>
          <w:b/>
          <w:bCs/>
          <w:sz w:val="20"/>
        </w:rPr>
      </w:pPr>
      <w:r w:rsidRPr="00171593">
        <w:rPr>
          <w:b/>
          <w:bCs/>
          <w:sz w:val="20"/>
        </w:rPr>
        <w:t xml:space="preserve">Proposal: Define </w:t>
      </w:r>
      <w:r w:rsidR="000C092D">
        <w:rPr>
          <w:b/>
          <w:bCs/>
          <w:sz w:val="20"/>
        </w:rPr>
        <w:t xml:space="preserve">the downlink Release 13 MTC </w:t>
      </w:r>
      <w:r w:rsidRPr="00171593">
        <w:rPr>
          <w:b/>
          <w:bCs/>
          <w:sz w:val="20"/>
        </w:rPr>
        <w:t>Narrowband locations symmetrically about the full system bandwidth center frequency</w:t>
      </w:r>
      <w:r w:rsidR="000C092D">
        <w:rPr>
          <w:b/>
          <w:bCs/>
          <w:sz w:val="20"/>
        </w:rPr>
        <w:t>; concentrate the</w:t>
      </w:r>
      <w:r w:rsidRPr="00171593">
        <w:rPr>
          <w:b/>
          <w:bCs/>
          <w:sz w:val="20"/>
        </w:rPr>
        <w:t xml:space="preserve"> extra PRBs not included in the 6-PRB Narrowbands </w:t>
      </w:r>
      <w:r w:rsidR="000C092D">
        <w:rPr>
          <w:b/>
          <w:bCs/>
          <w:sz w:val="20"/>
        </w:rPr>
        <w:t xml:space="preserve">at the center of the system bandwidth, </w:t>
      </w:r>
      <w:r w:rsidRPr="00171593">
        <w:rPr>
          <w:b/>
          <w:bCs/>
          <w:sz w:val="20"/>
        </w:rPr>
        <w:t>also arranged symmetrically about the center frequency.</w:t>
      </w:r>
    </w:p>
    <w:p w:rsidR="000F5784" w:rsidRDefault="000F5784" w:rsidP="000F5784">
      <w:pPr>
        <w:pStyle w:val="Heading1"/>
        <w:numPr>
          <w:ilvl w:val="0"/>
          <w:numId w:val="1"/>
        </w:numPr>
        <w:rPr>
          <w:color w:val="auto"/>
        </w:rPr>
      </w:pPr>
      <w:r>
        <w:rPr>
          <w:color w:val="auto"/>
        </w:rPr>
        <w:lastRenderedPageBreak/>
        <w:t>Conclusion</w:t>
      </w:r>
    </w:p>
    <w:p w:rsidR="003A1518" w:rsidRDefault="005F06B0" w:rsidP="000C092D">
      <w:pPr>
        <w:spacing w:after="200" w:line="276" w:lineRule="auto"/>
      </w:pPr>
      <w:r>
        <w:t>I</w:t>
      </w:r>
      <w:r w:rsidR="003B6B69">
        <w:t xml:space="preserve">n this contribution we considered </w:t>
      </w:r>
      <w:r w:rsidR="000C092D">
        <w:t>the locations of the Narrowbands for the Release 13 MTC UE. Based on the analysis here we have proposed:</w:t>
      </w:r>
    </w:p>
    <w:p w:rsidR="00B94417" w:rsidRDefault="00B94417" w:rsidP="00B94417">
      <w:pPr>
        <w:spacing w:after="200" w:line="276" w:lineRule="auto"/>
        <w:rPr>
          <w:b/>
          <w:bCs/>
          <w:sz w:val="20"/>
        </w:rPr>
      </w:pPr>
      <w:r w:rsidRPr="00171593">
        <w:rPr>
          <w:b/>
          <w:bCs/>
          <w:sz w:val="20"/>
        </w:rPr>
        <w:t xml:space="preserve">Proposal: Define </w:t>
      </w:r>
      <w:r>
        <w:rPr>
          <w:b/>
          <w:bCs/>
          <w:sz w:val="20"/>
        </w:rPr>
        <w:t xml:space="preserve">the downlink Release 13 MTC </w:t>
      </w:r>
      <w:r w:rsidRPr="00171593">
        <w:rPr>
          <w:b/>
          <w:bCs/>
          <w:sz w:val="20"/>
        </w:rPr>
        <w:t>Narrowband locations symmetrically about the full system bandwidth center frequency</w:t>
      </w:r>
      <w:r>
        <w:rPr>
          <w:b/>
          <w:bCs/>
          <w:sz w:val="20"/>
        </w:rPr>
        <w:t>; concentrate the</w:t>
      </w:r>
      <w:r w:rsidRPr="00171593">
        <w:rPr>
          <w:b/>
          <w:bCs/>
          <w:sz w:val="20"/>
        </w:rPr>
        <w:t xml:space="preserve"> extra PRBs not included in the 6-PRB Narrowbands </w:t>
      </w:r>
      <w:r>
        <w:rPr>
          <w:b/>
          <w:bCs/>
          <w:sz w:val="20"/>
        </w:rPr>
        <w:t xml:space="preserve">at the center of the system bandwidth, </w:t>
      </w:r>
      <w:r w:rsidRPr="00171593">
        <w:rPr>
          <w:b/>
          <w:bCs/>
          <w:sz w:val="20"/>
        </w:rPr>
        <w:t>also arranged symmetrically about the center frequency.</w:t>
      </w:r>
    </w:p>
    <w:p w:rsidR="005F06B0" w:rsidRDefault="005F06B0">
      <w:pPr>
        <w:spacing w:after="200" w:line="276" w:lineRule="auto"/>
        <w:rPr>
          <w:rFonts w:asciiTheme="majorHAnsi" w:eastAsiaTheme="majorEastAsia" w:hAnsiTheme="majorHAnsi" w:cstheme="majorBidi"/>
          <w:b/>
          <w:bCs/>
          <w:sz w:val="28"/>
          <w:szCs w:val="28"/>
        </w:rPr>
      </w:pPr>
    </w:p>
    <w:p w:rsidR="000F5784" w:rsidRDefault="000F5784" w:rsidP="000F5784">
      <w:pPr>
        <w:pStyle w:val="Heading1"/>
        <w:numPr>
          <w:ilvl w:val="0"/>
          <w:numId w:val="1"/>
        </w:numPr>
        <w:rPr>
          <w:color w:val="auto"/>
        </w:rPr>
      </w:pPr>
      <w:r>
        <w:rPr>
          <w:color w:val="auto"/>
        </w:rPr>
        <w:t>References</w:t>
      </w:r>
    </w:p>
    <w:p w:rsidR="005C76EF" w:rsidRDefault="005C76EF">
      <w:pPr>
        <w:spacing w:after="200" w:line="276" w:lineRule="auto"/>
      </w:pPr>
    </w:p>
    <w:p w:rsidR="005C76EF" w:rsidRDefault="005C76EF" w:rsidP="005C76EF">
      <w:pPr>
        <w:pStyle w:val="ListParagraph"/>
        <w:numPr>
          <w:ilvl w:val="0"/>
          <w:numId w:val="27"/>
        </w:numPr>
        <w:spacing w:after="200" w:line="276" w:lineRule="auto"/>
      </w:pPr>
      <w:r>
        <w:t>RP-150492, “Revised WID: Further LTE Physical Layer Enhancements for MTC”</w:t>
      </w:r>
    </w:p>
    <w:p w:rsidR="00D41304" w:rsidRDefault="00D57807" w:rsidP="005C76EF">
      <w:pPr>
        <w:pStyle w:val="ListParagraph"/>
        <w:numPr>
          <w:ilvl w:val="0"/>
          <w:numId w:val="27"/>
        </w:numPr>
        <w:spacing w:after="200" w:line="276" w:lineRule="auto"/>
      </w:pPr>
      <w:r>
        <w:t>R1-154479</w:t>
      </w:r>
      <w:bookmarkStart w:id="5" w:name="_GoBack"/>
      <w:bookmarkEnd w:id="5"/>
      <w:r w:rsidR="00D41304">
        <w:t>, “Carrier Frequency and Phase Continuity for MTC UE,” Marvell, RAN1 #82, Aug. 2015</w:t>
      </w:r>
    </w:p>
    <w:p w:rsidR="00D94CAB" w:rsidRDefault="00D94CAB" w:rsidP="00D94CAB">
      <w:pPr>
        <w:spacing w:after="200" w:line="276" w:lineRule="auto"/>
      </w:pPr>
    </w:p>
    <w:p w:rsidR="00D94CAB" w:rsidRDefault="00D94CAB" w:rsidP="00D94CAB">
      <w:pPr>
        <w:spacing w:after="200" w:line="276" w:lineRule="auto"/>
      </w:pPr>
    </w:p>
    <w:sectPr w:rsidR="00D94CAB" w:rsidSect="007A1D80">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F49"/>
    <w:multiLevelType w:val="hybridMultilevel"/>
    <w:tmpl w:val="D2BC3308"/>
    <w:lvl w:ilvl="0" w:tplc="05502ED6">
      <w:start w:val="1"/>
      <w:numFmt w:val="bullet"/>
      <w:lvlText w:val="•"/>
      <w:lvlJc w:val="left"/>
      <w:pPr>
        <w:tabs>
          <w:tab w:val="num" w:pos="360"/>
        </w:tabs>
        <w:ind w:left="360" w:hanging="360"/>
      </w:pPr>
      <w:rPr>
        <w:rFonts w:ascii="Arial" w:hAnsi="Arial" w:hint="default"/>
      </w:rPr>
    </w:lvl>
    <w:lvl w:ilvl="1" w:tplc="49B05620">
      <w:start w:val="2515"/>
      <w:numFmt w:val="bullet"/>
      <w:lvlText w:val="–"/>
      <w:lvlJc w:val="left"/>
      <w:pPr>
        <w:tabs>
          <w:tab w:val="num" w:pos="1080"/>
        </w:tabs>
        <w:ind w:left="1080" w:hanging="360"/>
      </w:pPr>
      <w:rPr>
        <w:rFonts w:ascii="Arial" w:hAnsi="Arial" w:hint="default"/>
      </w:rPr>
    </w:lvl>
    <w:lvl w:ilvl="2" w:tplc="A260D7F0" w:tentative="1">
      <w:start w:val="1"/>
      <w:numFmt w:val="bullet"/>
      <w:lvlText w:val="•"/>
      <w:lvlJc w:val="left"/>
      <w:pPr>
        <w:tabs>
          <w:tab w:val="num" w:pos="1800"/>
        </w:tabs>
        <w:ind w:left="1800" w:hanging="360"/>
      </w:pPr>
      <w:rPr>
        <w:rFonts w:ascii="Arial" w:hAnsi="Arial" w:hint="default"/>
      </w:rPr>
    </w:lvl>
    <w:lvl w:ilvl="3" w:tplc="9112FA5E" w:tentative="1">
      <w:start w:val="1"/>
      <w:numFmt w:val="bullet"/>
      <w:lvlText w:val="•"/>
      <w:lvlJc w:val="left"/>
      <w:pPr>
        <w:tabs>
          <w:tab w:val="num" w:pos="2520"/>
        </w:tabs>
        <w:ind w:left="2520" w:hanging="360"/>
      </w:pPr>
      <w:rPr>
        <w:rFonts w:ascii="Arial" w:hAnsi="Arial" w:hint="default"/>
      </w:rPr>
    </w:lvl>
    <w:lvl w:ilvl="4" w:tplc="8F646392" w:tentative="1">
      <w:start w:val="1"/>
      <w:numFmt w:val="bullet"/>
      <w:lvlText w:val="•"/>
      <w:lvlJc w:val="left"/>
      <w:pPr>
        <w:tabs>
          <w:tab w:val="num" w:pos="3240"/>
        </w:tabs>
        <w:ind w:left="3240" w:hanging="360"/>
      </w:pPr>
      <w:rPr>
        <w:rFonts w:ascii="Arial" w:hAnsi="Arial" w:hint="default"/>
      </w:rPr>
    </w:lvl>
    <w:lvl w:ilvl="5" w:tplc="58FE93B2" w:tentative="1">
      <w:start w:val="1"/>
      <w:numFmt w:val="bullet"/>
      <w:lvlText w:val="•"/>
      <w:lvlJc w:val="left"/>
      <w:pPr>
        <w:tabs>
          <w:tab w:val="num" w:pos="3960"/>
        </w:tabs>
        <w:ind w:left="3960" w:hanging="360"/>
      </w:pPr>
      <w:rPr>
        <w:rFonts w:ascii="Arial" w:hAnsi="Arial" w:hint="default"/>
      </w:rPr>
    </w:lvl>
    <w:lvl w:ilvl="6" w:tplc="AE0EE5FE" w:tentative="1">
      <w:start w:val="1"/>
      <w:numFmt w:val="bullet"/>
      <w:lvlText w:val="•"/>
      <w:lvlJc w:val="left"/>
      <w:pPr>
        <w:tabs>
          <w:tab w:val="num" w:pos="4680"/>
        </w:tabs>
        <w:ind w:left="4680" w:hanging="360"/>
      </w:pPr>
      <w:rPr>
        <w:rFonts w:ascii="Arial" w:hAnsi="Arial" w:hint="default"/>
      </w:rPr>
    </w:lvl>
    <w:lvl w:ilvl="7" w:tplc="C0E23FB2" w:tentative="1">
      <w:start w:val="1"/>
      <w:numFmt w:val="bullet"/>
      <w:lvlText w:val="•"/>
      <w:lvlJc w:val="left"/>
      <w:pPr>
        <w:tabs>
          <w:tab w:val="num" w:pos="5400"/>
        </w:tabs>
        <w:ind w:left="5400" w:hanging="360"/>
      </w:pPr>
      <w:rPr>
        <w:rFonts w:ascii="Arial" w:hAnsi="Arial" w:hint="default"/>
      </w:rPr>
    </w:lvl>
    <w:lvl w:ilvl="8" w:tplc="2046821E" w:tentative="1">
      <w:start w:val="1"/>
      <w:numFmt w:val="bullet"/>
      <w:lvlText w:val="•"/>
      <w:lvlJc w:val="left"/>
      <w:pPr>
        <w:tabs>
          <w:tab w:val="num" w:pos="6120"/>
        </w:tabs>
        <w:ind w:left="6120" w:hanging="360"/>
      </w:pPr>
      <w:rPr>
        <w:rFonts w:ascii="Arial" w:hAnsi="Arial" w:hint="default"/>
      </w:rPr>
    </w:lvl>
  </w:abstractNum>
  <w:abstractNum w:abstractNumId="1">
    <w:nsid w:val="09146D7C"/>
    <w:multiLevelType w:val="hybridMultilevel"/>
    <w:tmpl w:val="1166C5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916070"/>
    <w:multiLevelType w:val="hybridMultilevel"/>
    <w:tmpl w:val="0596A2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4">
    <w:nsid w:val="1A335BF2"/>
    <w:multiLevelType w:val="hybridMultilevel"/>
    <w:tmpl w:val="C07CE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A736C85"/>
    <w:multiLevelType w:val="hybridMultilevel"/>
    <w:tmpl w:val="0AF233C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AF1561F"/>
    <w:multiLevelType w:val="hybridMultilevel"/>
    <w:tmpl w:val="73202942"/>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3469C1"/>
    <w:multiLevelType w:val="hybridMultilevel"/>
    <w:tmpl w:val="A752710E"/>
    <w:lvl w:ilvl="0" w:tplc="8C448A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6A2F41"/>
    <w:multiLevelType w:val="hybridMultilevel"/>
    <w:tmpl w:val="1FC06348"/>
    <w:lvl w:ilvl="0" w:tplc="2C52D080">
      <w:start w:val="1"/>
      <w:numFmt w:val="bullet"/>
      <w:lvlText w:val="•"/>
      <w:lvlJc w:val="left"/>
      <w:pPr>
        <w:tabs>
          <w:tab w:val="num" w:pos="360"/>
        </w:tabs>
        <w:ind w:left="360" w:hanging="360"/>
      </w:pPr>
      <w:rPr>
        <w:rFonts w:ascii="Arial" w:hAnsi="Arial" w:hint="default"/>
      </w:rPr>
    </w:lvl>
    <w:lvl w:ilvl="1" w:tplc="5E08B270">
      <w:start w:val="1863"/>
      <w:numFmt w:val="bullet"/>
      <w:lvlText w:val="–"/>
      <w:lvlJc w:val="left"/>
      <w:pPr>
        <w:tabs>
          <w:tab w:val="num" w:pos="1080"/>
        </w:tabs>
        <w:ind w:left="1080" w:hanging="360"/>
      </w:pPr>
      <w:rPr>
        <w:rFonts w:ascii="Arial" w:hAnsi="Arial" w:hint="default"/>
      </w:rPr>
    </w:lvl>
    <w:lvl w:ilvl="2" w:tplc="EC9A61FE">
      <w:start w:val="1863"/>
      <w:numFmt w:val="bullet"/>
      <w:lvlText w:val="•"/>
      <w:lvlJc w:val="left"/>
      <w:pPr>
        <w:tabs>
          <w:tab w:val="num" w:pos="1800"/>
        </w:tabs>
        <w:ind w:left="1800" w:hanging="360"/>
      </w:pPr>
      <w:rPr>
        <w:rFonts w:ascii="Arial" w:hAnsi="Arial" w:hint="default"/>
      </w:rPr>
    </w:lvl>
    <w:lvl w:ilvl="3" w:tplc="D2660A1A" w:tentative="1">
      <w:start w:val="1"/>
      <w:numFmt w:val="bullet"/>
      <w:lvlText w:val="•"/>
      <w:lvlJc w:val="left"/>
      <w:pPr>
        <w:tabs>
          <w:tab w:val="num" w:pos="2520"/>
        </w:tabs>
        <w:ind w:left="2520" w:hanging="360"/>
      </w:pPr>
      <w:rPr>
        <w:rFonts w:ascii="Arial" w:hAnsi="Arial" w:hint="default"/>
      </w:rPr>
    </w:lvl>
    <w:lvl w:ilvl="4" w:tplc="E0C68E76" w:tentative="1">
      <w:start w:val="1"/>
      <w:numFmt w:val="bullet"/>
      <w:lvlText w:val="•"/>
      <w:lvlJc w:val="left"/>
      <w:pPr>
        <w:tabs>
          <w:tab w:val="num" w:pos="3240"/>
        </w:tabs>
        <w:ind w:left="3240" w:hanging="360"/>
      </w:pPr>
      <w:rPr>
        <w:rFonts w:ascii="Arial" w:hAnsi="Arial" w:hint="default"/>
      </w:rPr>
    </w:lvl>
    <w:lvl w:ilvl="5" w:tplc="BE868E9C" w:tentative="1">
      <w:start w:val="1"/>
      <w:numFmt w:val="bullet"/>
      <w:lvlText w:val="•"/>
      <w:lvlJc w:val="left"/>
      <w:pPr>
        <w:tabs>
          <w:tab w:val="num" w:pos="3960"/>
        </w:tabs>
        <w:ind w:left="3960" w:hanging="360"/>
      </w:pPr>
      <w:rPr>
        <w:rFonts w:ascii="Arial" w:hAnsi="Arial" w:hint="default"/>
      </w:rPr>
    </w:lvl>
    <w:lvl w:ilvl="6" w:tplc="696A6B62" w:tentative="1">
      <w:start w:val="1"/>
      <w:numFmt w:val="bullet"/>
      <w:lvlText w:val="•"/>
      <w:lvlJc w:val="left"/>
      <w:pPr>
        <w:tabs>
          <w:tab w:val="num" w:pos="4680"/>
        </w:tabs>
        <w:ind w:left="4680" w:hanging="360"/>
      </w:pPr>
      <w:rPr>
        <w:rFonts w:ascii="Arial" w:hAnsi="Arial" w:hint="default"/>
      </w:rPr>
    </w:lvl>
    <w:lvl w:ilvl="7" w:tplc="30AEC8D4" w:tentative="1">
      <w:start w:val="1"/>
      <w:numFmt w:val="bullet"/>
      <w:lvlText w:val="•"/>
      <w:lvlJc w:val="left"/>
      <w:pPr>
        <w:tabs>
          <w:tab w:val="num" w:pos="5400"/>
        </w:tabs>
        <w:ind w:left="5400" w:hanging="360"/>
      </w:pPr>
      <w:rPr>
        <w:rFonts w:ascii="Arial" w:hAnsi="Arial" w:hint="default"/>
      </w:rPr>
    </w:lvl>
    <w:lvl w:ilvl="8" w:tplc="F252D3B4" w:tentative="1">
      <w:start w:val="1"/>
      <w:numFmt w:val="bullet"/>
      <w:lvlText w:val="•"/>
      <w:lvlJc w:val="left"/>
      <w:pPr>
        <w:tabs>
          <w:tab w:val="num" w:pos="6120"/>
        </w:tabs>
        <w:ind w:left="6120" w:hanging="360"/>
      </w:pPr>
      <w:rPr>
        <w:rFonts w:ascii="Arial" w:hAnsi="Arial" w:hint="default"/>
      </w:rPr>
    </w:lvl>
  </w:abstractNum>
  <w:abstractNum w:abstractNumId="9">
    <w:nsid w:val="2140593A"/>
    <w:multiLevelType w:val="hybridMultilevel"/>
    <w:tmpl w:val="973C75F0"/>
    <w:lvl w:ilvl="0" w:tplc="D9C60266">
      <w:start w:val="1"/>
      <w:numFmt w:val="bullet"/>
      <w:lvlText w:val="•"/>
      <w:lvlJc w:val="left"/>
      <w:pPr>
        <w:tabs>
          <w:tab w:val="num" w:pos="720"/>
        </w:tabs>
        <w:ind w:left="720" w:hanging="360"/>
      </w:pPr>
      <w:rPr>
        <w:rFonts w:ascii="Arial" w:hAnsi="Arial" w:hint="default"/>
      </w:rPr>
    </w:lvl>
    <w:lvl w:ilvl="1" w:tplc="44DADC1E">
      <w:start w:val="2246"/>
      <w:numFmt w:val="bullet"/>
      <w:lvlText w:val="–"/>
      <w:lvlJc w:val="left"/>
      <w:pPr>
        <w:tabs>
          <w:tab w:val="num" w:pos="1440"/>
        </w:tabs>
        <w:ind w:left="1440" w:hanging="360"/>
      </w:pPr>
      <w:rPr>
        <w:rFonts w:ascii="Arial" w:hAnsi="Arial" w:hint="default"/>
      </w:rPr>
    </w:lvl>
    <w:lvl w:ilvl="2" w:tplc="EA3C94DA">
      <w:start w:val="2246"/>
      <w:numFmt w:val="bullet"/>
      <w:lvlText w:val="•"/>
      <w:lvlJc w:val="left"/>
      <w:pPr>
        <w:tabs>
          <w:tab w:val="num" w:pos="2160"/>
        </w:tabs>
        <w:ind w:left="2160" w:hanging="360"/>
      </w:pPr>
      <w:rPr>
        <w:rFonts w:ascii="Arial" w:hAnsi="Arial" w:hint="default"/>
      </w:rPr>
    </w:lvl>
    <w:lvl w:ilvl="3" w:tplc="E35CD41A">
      <w:start w:val="2246"/>
      <w:numFmt w:val="bullet"/>
      <w:lvlText w:val="–"/>
      <w:lvlJc w:val="left"/>
      <w:pPr>
        <w:tabs>
          <w:tab w:val="num" w:pos="2880"/>
        </w:tabs>
        <w:ind w:left="2880" w:hanging="360"/>
      </w:pPr>
      <w:rPr>
        <w:rFonts w:ascii="Arial" w:hAnsi="Arial" w:hint="default"/>
      </w:rPr>
    </w:lvl>
    <w:lvl w:ilvl="4" w:tplc="8EDAC4EE" w:tentative="1">
      <w:start w:val="1"/>
      <w:numFmt w:val="bullet"/>
      <w:lvlText w:val="•"/>
      <w:lvlJc w:val="left"/>
      <w:pPr>
        <w:tabs>
          <w:tab w:val="num" w:pos="3600"/>
        </w:tabs>
        <w:ind w:left="3600" w:hanging="360"/>
      </w:pPr>
      <w:rPr>
        <w:rFonts w:ascii="Arial" w:hAnsi="Arial" w:hint="default"/>
      </w:rPr>
    </w:lvl>
    <w:lvl w:ilvl="5" w:tplc="9028E3EA" w:tentative="1">
      <w:start w:val="1"/>
      <w:numFmt w:val="bullet"/>
      <w:lvlText w:val="•"/>
      <w:lvlJc w:val="left"/>
      <w:pPr>
        <w:tabs>
          <w:tab w:val="num" w:pos="4320"/>
        </w:tabs>
        <w:ind w:left="4320" w:hanging="360"/>
      </w:pPr>
      <w:rPr>
        <w:rFonts w:ascii="Arial" w:hAnsi="Arial" w:hint="default"/>
      </w:rPr>
    </w:lvl>
    <w:lvl w:ilvl="6" w:tplc="08CCB57C" w:tentative="1">
      <w:start w:val="1"/>
      <w:numFmt w:val="bullet"/>
      <w:lvlText w:val="•"/>
      <w:lvlJc w:val="left"/>
      <w:pPr>
        <w:tabs>
          <w:tab w:val="num" w:pos="5040"/>
        </w:tabs>
        <w:ind w:left="5040" w:hanging="360"/>
      </w:pPr>
      <w:rPr>
        <w:rFonts w:ascii="Arial" w:hAnsi="Arial" w:hint="default"/>
      </w:rPr>
    </w:lvl>
    <w:lvl w:ilvl="7" w:tplc="FDA066F6" w:tentative="1">
      <w:start w:val="1"/>
      <w:numFmt w:val="bullet"/>
      <w:lvlText w:val="•"/>
      <w:lvlJc w:val="left"/>
      <w:pPr>
        <w:tabs>
          <w:tab w:val="num" w:pos="5760"/>
        </w:tabs>
        <w:ind w:left="5760" w:hanging="360"/>
      </w:pPr>
      <w:rPr>
        <w:rFonts w:ascii="Arial" w:hAnsi="Arial" w:hint="default"/>
      </w:rPr>
    </w:lvl>
    <w:lvl w:ilvl="8" w:tplc="40B4BCBE" w:tentative="1">
      <w:start w:val="1"/>
      <w:numFmt w:val="bullet"/>
      <w:lvlText w:val="•"/>
      <w:lvlJc w:val="left"/>
      <w:pPr>
        <w:tabs>
          <w:tab w:val="num" w:pos="6480"/>
        </w:tabs>
        <w:ind w:left="6480" w:hanging="360"/>
      </w:pPr>
      <w:rPr>
        <w:rFonts w:ascii="Arial" w:hAnsi="Arial" w:hint="default"/>
      </w:rPr>
    </w:lvl>
  </w:abstractNum>
  <w:abstractNum w:abstractNumId="10">
    <w:nsid w:val="21C40F2A"/>
    <w:multiLevelType w:val="hybridMultilevel"/>
    <w:tmpl w:val="6EFA0D5E"/>
    <w:lvl w:ilvl="0" w:tplc="8C2C09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8C6E8B"/>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41A35E6"/>
    <w:multiLevelType w:val="hybridMultilevel"/>
    <w:tmpl w:val="84C86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4">
    <w:nsid w:val="28F21432"/>
    <w:multiLevelType w:val="hybridMultilevel"/>
    <w:tmpl w:val="C07CE0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A7331CE"/>
    <w:multiLevelType w:val="hybridMultilevel"/>
    <w:tmpl w:val="ED56A0CE"/>
    <w:lvl w:ilvl="0" w:tplc="A6A808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5D0F"/>
    <w:multiLevelType w:val="hybridMultilevel"/>
    <w:tmpl w:val="B75C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C5799"/>
    <w:multiLevelType w:val="hybridMultilevel"/>
    <w:tmpl w:val="7D66410E"/>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A151FC"/>
    <w:multiLevelType w:val="hybridMultilevel"/>
    <w:tmpl w:val="DB12BE90"/>
    <w:lvl w:ilvl="0" w:tplc="2BF822F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A3B02"/>
    <w:multiLevelType w:val="hybridMultilevel"/>
    <w:tmpl w:val="65D043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857184F"/>
    <w:multiLevelType w:val="hybridMultilevel"/>
    <w:tmpl w:val="0E006EFC"/>
    <w:lvl w:ilvl="0" w:tplc="EF52D79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22">
    <w:nsid w:val="45EF147D"/>
    <w:multiLevelType w:val="hybridMultilevel"/>
    <w:tmpl w:val="51DA96D0"/>
    <w:lvl w:ilvl="0" w:tplc="4E322A4C">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3">
    <w:nsid w:val="474E4CB0"/>
    <w:multiLevelType w:val="hybridMultilevel"/>
    <w:tmpl w:val="A4805950"/>
    <w:lvl w:ilvl="0" w:tplc="CA50EDAA">
      <w:start w:val="1"/>
      <w:numFmt w:val="bullet"/>
      <w:lvlText w:val="•"/>
      <w:lvlJc w:val="left"/>
      <w:pPr>
        <w:tabs>
          <w:tab w:val="num" w:pos="720"/>
        </w:tabs>
        <w:ind w:left="720" w:hanging="360"/>
      </w:pPr>
      <w:rPr>
        <w:rFonts w:ascii="Arial" w:hAnsi="Arial" w:hint="default"/>
      </w:rPr>
    </w:lvl>
    <w:lvl w:ilvl="1" w:tplc="58485348">
      <w:start w:val="3747"/>
      <w:numFmt w:val="bullet"/>
      <w:lvlText w:val="–"/>
      <w:lvlJc w:val="left"/>
      <w:pPr>
        <w:tabs>
          <w:tab w:val="num" w:pos="1440"/>
        </w:tabs>
        <w:ind w:left="1440" w:hanging="360"/>
      </w:pPr>
      <w:rPr>
        <w:rFonts w:ascii="Arial" w:hAnsi="Arial" w:hint="default"/>
      </w:rPr>
    </w:lvl>
    <w:lvl w:ilvl="2" w:tplc="604A8D86">
      <w:start w:val="3747"/>
      <w:numFmt w:val="bullet"/>
      <w:lvlText w:val="•"/>
      <w:lvlJc w:val="left"/>
      <w:pPr>
        <w:tabs>
          <w:tab w:val="num" w:pos="2160"/>
        </w:tabs>
        <w:ind w:left="2160" w:hanging="360"/>
      </w:pPr>
      <w:rPr>
        <w:rFonts w:ascii="Arial" w:hAnsi="Arial" w:hint="default"/>
      </w:rPr>
    </w:lvl>
    <w:lvl w:ilvl="3" w:tplc="C12C533C" w:tentative="1">
      <w:start w:val="1"/>
      <w:numFmt w:val="bullet"/>
      <w:lvlText w:val="•"/>
      <w:lvlJc w:val="left"/>
      <w:pPr>
        <w:tabs>
          <w:tab w:val="num" w:pos="2880"/>
        </w:tabs>
        <w:ind w:left="2880" w:hanging="360"/>
      </w:pPr>
      <w:rPr>
        <w:rFonts w:ascii="Arial" w:hAnsi="Arial" w:hint="default"/>
      </w:rPr>
    </w:lvl>
    <w:lvl w:ilvl="4" w:tplc="BC9C3C9E" w:tentative="1">
      <w:start w:val="1"/>
      <w:numFmt w:val="bullet"/>
      <w:lvlText w:val="•"/>
      <w:lvlJc w:val="left"/>
      <w:pPr>
        <w:tabs>
          <w:tab w:val="num" w:pos="3600"/>
        </w:tabs>
        <w:ind w:left="3600" w:hanging="360"/>
      </w:pPr>
      <w:rPr>
        <w:rFonts w:ascii="Arial" w:hAnsi="Arial" w:hint="default"/>
      </w:rPr>
    </w:lvl>
    <w:lvl w:ilvl="5" w:tplc="0B0C1CE0" w:tentative="1">
      <w:start w:val="1"/>
      <w:numFmt w:val="bullet"/>
      <w:lvlText w:val="•"/>
      <w:lvlJc w:val="left"/>
      <w:pPr>
        <w:tabs>
          <w:tab w:val="num" w:pos="4320"/>
        </w:tabs>
        <w:ind w:left="4320" w:hanging="360"/>
      </w:pPr>
      <w:rPr>
        <w:rFonts w:ascii="Arial" w:hAnsi="Arial" w:hint="default"/>
      </w:rPr>
    </w:lvl>
    <w:lvl w:ilvl="6" w:tplc="FF9805CA" w:tentative="1">
      <w:start w:val="1"/>
      <w:numFmt w:val="bullet"/>
      <w:lvlText w:val="•"/>
      <w:lvlJc w:val="left"/>
      <w:pPr>
        <w:tabs>
          <w:tab w:val="num" w:pos="5040"/>
        </w:tabs>
        <w:ind w:left="5040" w:hanging="360"/>
      </w:pPr>
      <w:rPr>
        <w:rFonts w:ascii="Arial" w:hAnsi="Arial" w:hint="default"/>
      </w:rPr>
    </w:lvl>
    <w:lvl w:ilvl="7" w:tplc="6DF83CE8" w:tentative="1">
      <w:start w:val="1"/>
      <w:numFmt w:val="bullet"/>
      <w:lvlText w:val="•"/>
      <w:lvlJc w:val="left"/>
      <w:pPr>
        <w:tabs>
          <w:tab w:val="num" w:pos="5760"/>
        </w:tabs>
        <w:ind w:left="5760" w:hanging="360"/>
      </w:pPr>
      <w:rPr>
        <w:rFonts w:ascii="Arial" w:hAnsi="Arial" w:hint="default"/>
      </w:rPr>
    </w:lvl>
    <w:lvl w:ilvl="8" w:tplc="244268BA" w:tentative="1">
      <w:start w:val="1"/>
      <w:numFmt w:val="bullet"/>
      <w:lvlText w:val="•"/>
      <w:lvlJc w:val="left"/>
      <w:pPr>
        <w:tabs>
          <w:tab w:val="num" w:pos="6480"/>
        </w:tabs>
        <w:ind w:left="6480" w:hanging="360"/>
      </w:pPr>
      <w:rPr>
        <w:rFonts w:ascii="Arial" w:hAnsi="Arial" w:hint="default"/>
      </w:rPr>
    </w:lvl>
  </w:abstractNum>
  <w:abstractNum w:abstractNumId="24">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3AC298A"/>
    <w:multiLevelType w:val="hybridMultilevel"/>
    <w:tmpl w:val="BBF68146"/>
    <w:lvl w:ilvl="0" w:tplc="E378309E">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D3571F"/>
    <w:multiLevelType w:val="hybridMultilevel"/>
    <w:tmpl w:val="033EC420"/>
    <w:lvl w:ilvl="0" w:tplc="A12ECBB0">
      <w:start w:val="1"/>
      <w:numFmt w:val="bullet"/>
      <w:lvlText w:val="•"/>
      <w:lvlJc w:val="left"/>
      <w:pPr>
        <w:tabs>
          <w:tab w:val="num" w:pos="720"/>
        </w:tabs>
        <w:ind w:left="720" w:hanging="360"/>
      </w:pPr>
      <w:rPr>
        <w:rFonts w:ascii="Arial" w:hAnsi="Arial" w:hint="default"/>
      </w:rPr>
    </w:lvl>
    <w:lvl w:ilvl="1" w:tplc="CA1A0374">
      <w:start w:val="2609"/>
      <w:numFmt w:val="bullet"/>
      <w:lvlText w:val="–"/>
      <w:lvlJc w:val="left"/>
      <w:pPr>
        <w:tabs>
          <w:tab w:val="num" w:pos="1440"/>
        </w:tabs>
        <w:ind w:left="1440" w:hanging="360"/>
      </w:pPr>
      <w:rPr>
        <w:rFonts w:ascii="Arial" w:hAnsi="Arial" w:hint="default"/>
      </w:rPr>
    </w:lvl>
    <w:lvl w:ilvl="2" w:tplc="EB969B42">
      <w:start w:val="2609"/>
      <w:numFmt w:val="bullet"/>
      <w:lvlText w:val="•"/>
      <w:lvlJc w:val="left"/>
      <w:pPr>
        <w:tabs>
          <w:tab w:val="num" w:pos="2160"/>
        </w:tabs>
        <w:ind w:left="2160" w:hanging="360"/>
      </w:pPr>
      <w:rPr>
        <w:rFonts w:ascii="Arial" w:hAnsi="Arial" w:hint="default"/>
      </w:rPr>
    </w:lvl>
    <w:lvl w:ilvl="3" w:tplc="C0028FD0" w:tentative="1">
      <w:start w:val="1"/>
      <w:numFmt w:val="bullet"/>
      <w:lvlText w:val="•"/>
      <w:lvlJc w:val="left"/>
      <w:pPr>
        <w:tabs>
          <w:tab w:val="num" w:pos="2880"/>
        </w:tabs>
        <w:ind w:left="2880" w:hanging="360"/>
      </w:pPr>
      <w:rPr>
        <w:rFonts w:ascii="Arial" w:hAnsi="Arial" w:hint="default"/>
      </w:rPr>
    </w:lvl>
    <w:lvl w:ilvl="4" w:tplc="C6485F58" w:tentative="1">
      <w:start w:val="1"/>
      <w:numFmt w:val="bullet"/>
      <w:lvlText w:val="•"/>
      <w:lvlJc w:val="left"/>
      <w:pPr>
        <w:tabs>
          <w:tab w:val="num" w:pos="3600"/>
        </w:tabs>
        <w:ind w:left="3600" w:hanging="360"/>
      </w:pPr>
      <w:rPr>
        <w:rFonts w:ascii="Arial" w:hAnsi="Arial" w:hint="default"/>
      </w:rPr>
    </w:lvl>
    <w:lvl w:ilvl="5" w:tplc="0938F146" w:tentative="1">
      <w:start w:val="1"/>
      <w:numFmt w:val="bullet"/>
      <w:lvlText w:val="•"/>
      <w:lvlJc w:val="left"/>
      <w:pPr>
        <w:tabs>
          <w:tab w:val="num" w:pos="4320"/>
        </w:tabs>
        <w:ind w:left="4320" w:hanging="360"/>
      </w:pPr>
      <w:rPr>
        <w:rFonts w:ascii="Arial" w:hAnsi="Arial" w:hint="default"/>
      </w:rPr>
    </w:lvl>
    <w:lvl w:ilvl="6" w:tplc="8C8EAAB8" w:tentative="1">
      <w:start w:val="1"/>
      <w:numFmt w:val="bullet"/>
      <w:lvlText w:val="•"/>
      <w:lvlJc w:val="left"/>
      <w:pPr>
        <w:tabs>
          <w:tab w:val="num" w:pos="5040"/>
        </w:tabs>
        <w:ind w:left="5040" w:hanging="360"/>
      </w:pPr>
      <w:rPr>
        <w:rFonts w:ascii="Arial" w:hAnsi="Arial" w:hint="default"/>
      </w:rPr>
    </w:lvl>
    <w:lvl w:ilvl="7" w:tplc="E19EF7EC" w:tentative="1">
      <w:start w:val="1"/>
      <w:numFmt w:val="bullet"/>
      <w:lvlText w:val="•"/>
      <w:lvlJc w:val="left"/>
      <w:pPr>
        <w:tabs>
          <w:tab w:val="num" w:pos="5760"/>
        </w:tabs>
        <w:ind w:left="5760" w:hanging="360"/>
      </w:pPr>
      <w:rPr>
        <w:rFonts w:ascii="Arial" w:hAnsi="Arial" w:hint="default"/>
      </w:rPr>
    </w:lvl>
    <w:lvl w:ilvl="8" w:tplc="C7FA57D8" w:tentative="1">
      <w:start w:val="1"/>
      <w:numFmt w:val="bullet"/>
      <w:lvlText w:val="•"/>
      <w:lvlJc w:val="left"/>
      <w:pPr>
        <w:tabs>
          <w:tab w:val="num" w:pos="6480"/>
        </w:tabs>
        <w:ind w:left="6480" w:hanging="360"/>
      </w:pPr>
      <w:rPr>
        <w:rFonts w:ascii="Arial" w:hAnsi="Arial" w:hint="default"/>
      </w:rPr>
    </w:lvl>
  </w:abstractNum>
  <w:abstractNum w:abstractNumId="28">
    <w:nsid w:val="5A5B1D9F"/>
    <w:multiLevelType w:val="hybridMultilevel"/>
    <w:tmpl w:val="80DABF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A9C618F"/>
    <w:multiLevelType w:val="hybridMultilevel"/>
    <w:tmpl w:val="F59AD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066316"/>
    <w:multiLevelType w:val="hybridMultilevel"/>
    <w:tmpl w:val="437689EE"/>
    <w:lvl w:ilvl="0" w:tplc="6D7A532E">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1">
    <w:nsid w:val="61105B0F"/>
    <w:multiLevelType w:val="hybridMultilevel"/>
    <w:tmpl w:val="F89063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8FD0658"/>
    <w:multiLevelType w:val="hybridMultilevel"/>
    <w:tmpl w:val="FB4631D8"/>
    <w:lvl w:ilvl="0" w:tplc="08090001">
      <w:start w:val="1"/>
      <w:numFmt w:val="bullet"/>
      <w:lvlText w:val=""/>
      <w:lvlJc w:val="left"/>
      <w:pPr>
        <w:tabs>
          <w:tab w:val="num" w:pos="360"/>
        </w:tabs>
        <w:ind w:left="360" w:hanging="360"/>
      </w:pPr>
      <w:rPr>
        <w:rFonts w:ascii="Symbol" w:hAnsi="Symbo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abstractNum w:abstractNumId="33">
    <w:nsid w:val="6BDE7F74"/>
    <w:multiLevelType w:val="hybridMultilevel"/>
    <w:tmpl w:val="EA207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D13E29"/>
    <w:multiLevelType w:val="hybridMultilevel"/>
    <w:tmpl w:val="C54A4FD6"/>
    <w:lvl w:ilvl="0" w:tplc="2BF822F0">
      <w:start w:val="6"/>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5476F8C"/>
    <w:multiLevelType w:val="hybridMultilevel"/>
    <w:tmpl w:val="56DA76C8"/>
    <w:lvl w:ilvl="0" w:tplc="519053C2">
      <w:start w:val="1"/>
      <w:numFmt w:val="bullet"/>
      <w:lvlText w:val="•"/>
      <w:lvlJc w:val="left"/>
      <w:pPr>
        <w:tabs>
          <w:tab w:val="num" w:pos="360"/>
        </w:tabs>
        <w:ind w:left="360" w:hanging="360"/>
      </w:pPr>
      <w:rPr>
        <w:rFonts w:ascii="Arial" w:hAnsi="Arial" w:hint="default"/>
      </w:rPr>
    </w:lvl>
    <w:lvl w:ilvl="1" w:tplc="A9D60466">
      <w:start w:val="18"/>
      <w:numFmt w:val="bullet"/>
      <w:lvlText w:val="–"/>
      <w:lvlJc w:val="left"/>
      <w:pPr>
        <w:tabs>
          <w:tab w:val="num" w:pos="1080"/>
        </w:tabs>
        <w:ind w:left="1080" w:hanging="360"/>
      </w:pPr>
      <w:rPr>
        <w:rFonts w:ascii="Arial" w:hAnsi="Arial" w:hint="default"/>
      </w:rPr>
    </w:lvl>
    <w:lvl w:ilvl="2" w:tplc="07F6BE52">
      <w:start w:val="18"/>
      <w:numFmt w:val="bullet"/>
      <w:lvlText w:val="•"/>
      <w:lvlJc w:val="left"/>
      <w:pPr>
        <w:tabs>
          <w:tab w:val="num" w:pos="1800"/>
        </w:tabs>
        <w:ind w:left="1800" w:hanging="360"/>
      </w:pPr>
      <w:rPr>
        <w:rFonts w:ascii="Arial" w:hAnsi="Arial" w:hint="default"/>
      </w:rPr>
    </w:lvl>
    <w:lvl w:ilvl="3" w:tplc="07FC8FA2" w:tentative="1">
      <w:start w:val="1"/>
      <w:numFmt w:val="bullet"/>
      <w:lvlText w:val="•"/>
      <w:lvlJc w:val="left"/>
      <w:pPr>
        <w:tabs>
          <w:tab w:val="num" w:pos="2520"/>
        </w:tabs>
        <w:ind w:left="2520" w:hanging="360"/>
      </w:pPr>
      <w:rPr>
        <w:rFonts w:ascii="Arial" w:hAnsi="Arial" w:hint="default"/>
      </w:rPr>
    </w:lvl>
    <w:lvl w:ilvl="4" w:tplc="CE7ABCE8" w:tentative="1">
      <w:start w:val="1"/>
      <w:numFmt w:val="bullet"/>
      <w:lvlText w:val="•"/>
      <w:lvlJc w:val="left"/>
      <w:pPr>
        <w:tabs>
          <w:tab w:val="num" w:pos="3240"/>
        </w:tabs>
        <w:ind w:left="3240" w:hanging="360"/>
      </w:pPr>
      <w:rPr>
        <w:rFonts w:ascii="Arial" w:hAnsi="Arial" w:hint="default"/>
      </w:rPr>
    </w:lvl>
    <w:lvl w:ilvl="5" w:tplc="A20E9984" w:tentative="1">
      <w:start w:val="1"/>
      <w:numFmt w:val="bullet"/>
      <w:lvlText w:val="•"/>
      <w:lvlJc w:val="left"/>
      <w:pPr>
        <w:tabs>
          <w:tab w:val="num" w:pos="3960"/>
        </w:tabs>
        <w:ind w:left="3960" w:hanging="360"/>
      </w:pPr>
      <w:rPr>
        <w:rFonts w:ascii="Arial" w:hAnsi="Arial" w:hint="default"/>
      </w:rPr>
    </w:lvl>
    <w:lvl w:ilvl="6" w:tplc="CD1E8028" w:tentative="1">
      <w:start w:val="1"/>
      <w:numFmt w:val="bullet"/>
      <w:lvlText w:val="•"/>
      <w:lvlJc w:val="left"/>
      <w:pPr>
        <w:tabs>
          <w:tab w:val="num" w:pos="4680"/>
        </w:tabs>
        <w:ind w:left="4680" w:hanging="360"/>
      </w:pPr>
      <w:rPr>
        <w:rFonts w:ascii="Arial" w:hAnsi="Arial" w:hint="default"/>
      </w:rPr>
    </w:lvl>
    <w:lvl w:ilvl="7" w:tplc="2160BA66" w:tentative="1">
      <w:start w:val="1"/>
      <w:numFmt w:val="bullet"/>
      <w:lvlText w:val="•"/>
      <w:lvlJc w:val="left"/>
      <w:pPr>
        <w:tabs>
          <w:tab w:val="num" w:pos="5400"/>
        </w:tabs>
        <w:ind w:left="5400" w:hanging="360"/>
      </w:pPr>
      <w:rPr>
        <w:rFonts w:ascii="Arial" w:hAnsi="Arial" w:hint="default"/>
      </w:rPr>
    </w:lvl>
    <w:lvl w:ilvl="8" w:tplc="90DCB978" w:tentative="1">
      <w:start w:val="1"/>
      <w:numFmt w:val="bullet"/>
      <w:lvlText w:val="•"/>
      <w:lvlJc w:val="left"/>
      <w:pPr>
        <w:tabs>
          <w:tab w:val="num" w:pos="6120"/>
        </w:tabs>
        <w:ind w:left="6120" w:hanging="360"/>
      </w:pPr>
      <w:rPr>
        <w:rFonts w:ascii="Arial" w:hAnsi="Arial" w:hint="default"/>
      </w:rPr>
    </w:lvl>
  </w:abstractNum>
  <w:abstractNum w:abstractNumId="36">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BAF2D9E"/>
    <w:multiLevelType w:val="hybridMultilevel"/>
    <w:tmpl w:val="E626BD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8">
    <w:nsid w:val="7CA225E4"/>
    <w:multiLevelType w:val="hybridMultilevel"/>
    <w:tmpl w:val="F75E79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20"/>
  </w:num>
  <w:num w:numId="3">
    <w:abstractNumId w:val="32"/>
  </w:num>
  <w:num w:numId="4">
    <w:abstractNumId w:val="30"/>
  </w:num>
  <w:num w:numId="5">
    <w:abstractNumId w:val="27"/>
  </w:num>
  <w:num w:numId="6">
    <w:abstractNumId w:val="35"/>
  </w:num>
  <w:num w:numId="7">
    <w:abstractNumId w:val="12"/>
  </w:num>
  <w:num w:numId="8">
    <w:abstractNumId w:val="11"/>
  </w:num>
  <w:num w:numId="9">
    <w:abstractNumId w:val="19"/>
  </w:num>
  <w:num w:numId="10">
    <w:abstractNumId w:val="25"/>
  </w:num>
  <w:num w:numId="11">
    <w:abstractNumId w:val="26"/>
  </w:num>
  <w:num w:numId="12">
    <w:abstractNumId w:val="18"/>
  </w:num>
  <w:num w:numId="13">
    <w:abstractNumId w:val="6"/>
  </w:num>
  <w:num w:numId="14">
    <w:abstractNumId w:val="17"/>
  </w:num>
  <w:num w:numId="15">
    <w:abstractNumId w:val="7"/>
  </w:num>
  <w:num w:numId="16">
    <w:abstractNumId w:val="5"/>
  </w:num>
  <w:num w:numId="17">
    <w:abstractNumId w:val="34"/>
  </w:num>
  <w:num w:numId="18">
    <w:abstractNumId w:val="36"/>
  </w:num>
  <w:num w:numId="19">
    <w:abstractNumId w:val="0"/>
  </w:num>
  <w:num w:numId="20">
    <w:abstractNumId w:val="21"/>
  </w:num>
  <w:num w:numId="21">
    <w:abstractNumId w:val="23"/>
  </w:num>
  <w:num w:numId="22">
    <w:abstractNumId w:val="9"/>
  </w:num>
  <w:num w:numId="23">
    <w:abstractNumId w:val="24"/>
  </w:num>
  <w:num w:numId="24">
    <w:abstractNumId w:val="8"/>
  </w:num>
  <w:num w:numId="25">
    <w:abstractNumId w:val="38"/>
  </w:num>
  <w:num w:numId="26">
    <w:abstractNumId w:val="10"/>
  </w:num>
  <w:num w:numId="27">
    <w:abstractNumId w:val="31"/>
  </w:num>
  <w:num w:numId="28">
    <w:abstractNumId w:val="37"/>
  </w:num>
  <w:num w:numId="29">
    <w:abstractNumId w:val="3"/>
  </w:num>
  <w:num w:numId="30">
    <w:abstractNumId w:val="13"/>
  </w:num>
  <w:num w:numId="31">
    <w:abstractNumId w:val="15"/>
  </w:num>
  <w:num w:numId="32">
    <w:abstractNumId w:val="22"/>
  </w:num>
  <w:num w:numId="33">
    <w:abstractNumId w:val="33"/>
  </w:num>
  <w:num w:numId="34">
    <w:abstractNumId w:val="2"/>
  </w:num>
  <w:num w:numId="35">
    <w:abstractNumId w:val="16"/>
  </w:num>
  <w:num w:numId="36">
    <w:abstractNumId w:val="14"/>
  </w:num>
  <w:num w:numId="37">
    <w:abstractNumId w:val="1"/>
  </w:num>
  <w:num w:numId="38">
    <w:abstractNumId w:val="4"/>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E27"/>
    <w:rsid w:val="00013371"/>
    <w:rsid w:val="00013FD7"/>
    <w:rsid w:val="000205B1"/>
    <w:rsid w:val="00023B02"/>
    <w:rsid w:val="000302B0"/>
    <w:rsid w:val="00034BA6"/>
    <w:rsid w:val="00060F85"/>
    <w:rsid w:val="00064762"/>
    <w:rsid w:val="00065146"/>
    <w:rsid w:val="00066BE2"/>
    <w:rsid w:val="00080BCD"/>
    <w:rsid w:val="00082CE3"/>
    <w:rsid w:val="000900B8"/>
    <w:rsid w:val="00090E99"/>
    <w:rsid w:val="00097C14"/>
    <w:rsid w:val="000A1358"/>
    <w:rsid w:val="000A3070"/>
    <w:rsid w:val="000A3D2B"/>
    <w:rsid w:val="000B4483"/>
    <w:rsid w:val="000C092D"/>
    <w:rsid w:val="000C37F6"/>
    <w:rsid w:val="000D2956"/>
    <w:rsid w:val="000E108E"/>
    <w:rsid w:val="000E42E1"/>
    <w:rsid w:val="000E5A27"/>
    <w:rsid w:val="000F5784"/>
    <w:rsid w:val="00135CB8"/>
    <w:rsid w:val="00135D89"/>
    <w:rsid w:val="00171593"/>
    <w:rsid w:val="00176515"/>
    <w:rsid w:val="00177E14"/>
    <w:rsid w:val="0018438D"/>
    <w:rsid w:val="001926EF"/>
    <w:rsid w:val="00192F74"/>
    <w:rsid w:val="00193CF3"/>
    <w:rsid w:val="001A0208"/>
    <w:rsid w:val="001A39F2"/>
    <w:rsid w:val="001A531D"/>
    <w:rsid w:val="001A64FF"/>
    <w:rsid w:val="001B06F5"/>
    <w:rsid w:val="001B2CBB"/>
    <w:rsid w:val="001C182C"/>
    <w:rsid w:val="001D3F69"/>
    <w:rsid w:val="001E0BB8"/>
    <w:rsid w:val="001E0E88"/>
    <w:rsid w:val="001E46A5"/>
    <w:rsid w:val="00203B90"/>
    <w:rsid w:val="00205E0F"/>
    <w:rsid w:val="00207C53"/>
    <w:rsid w:val="00213954"/>
    <w:rsid w:val="00217D0A"/>
    <w:rsid w:val="00222109"/>
    <w:rsid w:val="00242999"/>
    <w:rsid w:val="00247C5F"/>
    <w:rsid w:val="00265C17"/>
    <w:rsid w:val="00281A0E"/>
    <w:rsid w:val="00285707"/>
    <w:rsid w:val="00286BDE"/>
    <w:rsid w:val="002877E5"/>
    <w:rsid w:val="00294A93"/>
    <w:rsid w:val="002A057C"/>
    <w:rsid w:val="002E4D5E"/>
    <w:rsid w:val="002F5EFF"/>
    <w:rsid w:val="00305A07"/>
    <w:rsid w:val="00311696"/>
    <w:rsid w:val="00322F4E"/>
    <w:rsid w:val="00331C5C"/>
    <w:rsid w:val="003333E3"/>
    <w:rsid w:val="0033441C"/>
    <w:rsid w:val="00345F79"/>
    <w:rsid w:val="00391E39"/>
    <w:rsid w:val="003947DF"/>
    <w:rsid w:val="003A1518"/>
    <w:rsid w:val="003A1C22"/>
    <w:rsid w:val="003A6BF2"/>
    <w:rsid w:val="003B6B69"/>
    <w:rsid w:val="003C44FB"/>
    <w:rsid w:val="003E1E4B"/>
    <w:rsid w:val="003E4026"/>
    <w:rsid w:val="003F059C"/>
    <w:rsid w:val="00403F0A"/>
    <w:rsid w:val="004077AD"/>
    <w:rsid w:val="00423E32"/>
    <w:rsid w:val="0042532D"/>
    <w:rsid w:val="004365A7"/>
    <w:rsid w:val="00452C67"/>
    <w:rsid w:val="004874E6"/>
    <w:rsid w:val="004B6B7B"/>
    <w:rsid w:val="004D140E"/>
    <w:rsid w:val="004D441E"/>
    <w:rsid w:val="004E1125"/>
    <w:rsid w:val="004E2E35"/>
    <w:rsid w:val="004F109F"/>
    <w:rsid w:val="005268E1"/>
    <w:rsid w:val="0053445B"/>
    <w:rsid w:val="00550070"/>
    <w:rsid w:val="00550CFE"/>
    <w:rsid w:val="005761C7"/>
    <w:rsid w:val="0059081E"/>
    <w:rsid w:val="005A52D4"/>
    <w:rsid w:val="005C4ADC"/>
    <w:rsid w:val="005C6011"/>
    <w:rsid w:val="005C61C3"/>
    <w:rsid w:val="005C76EF"/>
    <w:rsid w:val="005F06B0"/>
    <w:rsid w:val="0060026B"/>
    <w:rsid w:val="00604064"/>
    <w:rsid w:val="00604E79"/>
    <w:rsid w:val="00610D88"/>
    <w:rsid w:val="00637949"/>
    <w:rsid w:val="00637EFC"/>
    <w:rsid w:val="0065241F"/>
    <w:rsid w:val="00657503"/>
    <w:rsid w:val="00673266"/>
    <w:rsid w:val="00685E27"/>
    <w:rsid w:val="00695613"/>
    <w:rsid w:val="006A5632"/>
    <w:rsid w:val="006A6F11"/>
    <w:rsid w:val="006B5A1E"/>
    <w:rsid w:val="006C6819"/>
    <w:rsid w:val="006D4B15"/>
    <w:rsid w:val="0070140A"/>
    <w:rsid w:val="007029DB"/>
    <w:rsid w:val="0070542E"/>
    <w:rsid w:val="007113A5"/>
    <w:rsid w:val="0073799F"/>
    <w:rsid w:val="007427C0"/>
    <w:rsid w:val="00745E5B"/>
    <w:rsid w:val="00752B7A"/>
    <w:rsid w:val="007572E3"/>
    <w:rsid w:val="007770E7"/>
    <w:rsid w:val="007822C6"/>
    <w:rsid w:val="00783FE3"/>
    <w:rsid w:val="00792D10"/>
    <w:rsid w:val="00794928"/>
    <w:rsid w:val="00794E34"/>
    <w:rsid w:val="007A1D80"/>
    <w:rsid w:val="007B1A71"/>
    <w:rsid w:val="007B2D6D"/>
    <w:rsid w:val="007C0B03"/>
    <w:rsid w:val="007E449C"/>
    <w:rsid w:val="007E6643"/>
    <w:rsid w:val="007F67D5"/>
    <w:rsid w:val="00802A60"/>
    <w:rsid w:val="0081767E"/>
    <w:rsid w:val="008203DB"/>
    <w:rsid w:val="00820C83"/>
    <w:rsid w:val="008240AA"/>
    <w:rsid w:val="00826ECB"/>
    <w:rsid w:val="0084077B"/>
    <w:rsid w:val="008517C5"/>
    <w:rsid w:val="00864209"/>
    <w:rsid w:val="00874517"/>
    <w:rsid w:val="008B37F2"/>
    <w:rsid w:val="008D31AF"/>
    <w:rsid w:val="008E11D3"/>
    <w:rsid w:val="008F6B95"/>
    <w:rsid w:val="00915A79"/>
    <w:rsid w:val="00922342"/>
    <w:rsid w:val="0092595E"/>
    <w:rsid w:val="009262F1"/>
    <w:rsid w:val="009262F5"/>
    <w:rsid w:val="00932350"/>
    <w:rsid w:val="009339C8"/>
    <w:rsid w:val="00933B9B"/>
    <w:rsid w:val="00946E2E"/>
    <w:rsid w:val="009518F3"/>
    <w:rsid w:val="00957426"/>
    <w:rsid w:val="009604C5"/>
    <w:rsid w:val="009728B9"/>
    <w:rsid w:val="00977068"/>
    <w:rsid w:val="009828A1"/>
    <w:rsid w:val="009878A8"/>
    <w:rsid w:val="0099057E"/>
    <w:rsid w:val="00991409"/>
    <w:rsid w:val="009915BC"/>
    <w:rsid w:val="0099508C"/>
    <w:rsid w:val="009A0ABA"/>
    <w:rsid w:val="009A0D66"/>
    <w:rsid w:val="009B15B0"/>
    <w:rsid w:val="009B1E84"/>
    <w:rsid w:val="009C0795"/>
    <w:rsid w:val="009C4CE6"/>
    <w:rsid w:val="009D1EBE"/>
    <w:rsid w:val="009D684F"/>
    <w:rsid w:val="009F07AB"/>
    <w:rsid w:val="009F6350"/>
    <w:rsid w:val="00A0077F"/>
    <w:rsid w:val="00A01A22"/>
    <w:rsid w:val="00A033E6"/>
    <w:rsid w:val="00A05A9C"/>
    <w:rsid w:val="00A10397"/>
    <w:rsid w:val="00A1232F"/>
    <w:rsid w:val="00A32E27"/>
    <w:rsid w:val="00A3342D"/>
    <w:rsid w:val="00A53E26"/>
    <w:rsid w:val="00A56DCF"/>
    <w:rsid w:val="00A574AC"/>
    <w:rsid w:val="00A62ABA"/>
    <w:rsid w:val="00A764AC"/>
    <w:rsid w:val="00A84E6E"/>
    <w:rsid w:val="00A91E14"/>
    <w:rsid w:val="00A95AFF"/>
    <w:rsid w:val="00A97817"/>
    <w:rsid w:val="00AA76AA"/>
    <w:rsid w:val="00AB33F7"/>
    <w:rsid w:val="00AB4325"/>
    <w:rsid w:val="00AB505E"/>
    <w:rsid w:val="00AB72A5"/>
    <w:rsid w:val="00AC2BD8"/>
    <w:rsid w:val="00AC472D"/>
    <w:rsid w:val="00AE571A"/>
    <w:rsid w:val="00AE639F"/>
    <w:rsid w:val="00B029D2"/>
    <w:rsid w:val="00B12970"/>
    <w:rsid w:val="00B17B95"/>
    <w:rsid w:val="00B20062"/>
    <w:rsid w:val="00B2640D"/>
    <w:rsid w:val="00B34F22"/>
    <w:rsid w:val="00B36623"/>
    <w:rsid w:val="00B5641D"/>
    <w:rsid w:val="00B57E76"/>
    <w:rsid w:val="00B64242"/>
    <w:rsid w:val="00B66CBF"/>
    <w:rsid w:val="00B71FA5"/>
    <w:rsid w:val="00B94417"/>
    <w:rsid w:val="00B978E2"/>
    <w:rsid w:val="00BF0880"/>
    <w:rsid w:val="00C00F9F"/>
    <w:rsid w:val="00C02477"/>
    <w:rsid w:val="00C07F84"/>
    <w:rsid w:val="00C1477F"/>
    <w:rsid w:val="00C2137B"/>
    <w:rsid w:val="00C352BF"/>
    <w:rsid w:val="00C3736E"/>
    <w:rsid w:val="00C61B6D"/>
    <w:rsid w:val="00C66530"/>
    <w:rsid w:val="00C80CCE"/>
    <w:rsid w:val="00CA1295"/>
    <w:rsid w:val="00CB1B0E"/>
    <w:rsid w:val="00CB5029"/>
    <w:rsid w:val="00CC2D29"/>
    <w:rsid w:val="00CD6E1E"/>
    <w:rsid w:val="00CD7E5B"/>
    <w:rsid w:val="00CE4C4B"/>
    <w:rsid w:val="00CE753D"/>
    <w:rsid w:val="00CF3266"/>
    <w:rsid w:val="00CF479F"/>
    <w:rsid w:val="00D32DF3"/>
    <w:rsid w:val="00D41304"/>
    <w:rsid w:val="00D43CAB"/>
    <w:rsid w:val="00D51B3F"/>
    <w:rsid w:val="00D55CC6"/>
    <w:rsid w:val="00D57807"/>
    <w:rsid w:val="00D7442F"/>
    <w:rsid w:val="00D87B2D"/>
    <w:rsid w:val="00D94CAB"/>
    <w:rsid w:val="00DB3896"/>
    <w:rsid w:val="00DC3FA7"/>
    <w:rsid w:val="00DE6114"/>
    <w:rsid w:val="00DF4E67"/>
    <w:rsid w:val="00E04763"/>
    <w:rsid w:val="00E126EF"/>
    <w:rsid w:val="00E14328"/>
    <w:rsid w:val="00E42215"/>
    <w:rsid w:val="00E75AB4"/>
    <w:rsid w:val="00E76AF1"/>
    <w:rsid w:val="00E9229D"/>
    <w:rsid w:val="00E9490F"/>
    <w:rsid w:val="00EA5761"/>
    <w:rsid w:val="00EB4FD4"/>
    <w:rsid w:val="00EC0604"/>
    <w:rsid w:val="00ED2FB8"/>
    <w:rsid w:val="00ED6409"/>
    <w:rsid w:val="00EE23E8"/>
    <w:rsid w:val="00EE44C9"/>
    <w:rsid w:val="00EF5163"/>
    <w:rsid w:val="00F05F94"/>
    <w:rsid w:val="00F12AD2"/>
    <w:rsid w:val="00F14A2E"/>
    <w:rsid w:val="00F23AD6"/>
    <w:rsid w:val="00F40437"/>
    <w:rsid w:val="00F44246"/>
    <w:rsid w:val="00F5055A"/>
    <w:rsid w:val="00F55690"/>
    <w:rsid w:val="00F6274C"/>
    <w:rsid w:val="00F87D34"/>
    <w:rsid w:val="00F90C43"/>
    <w:rsid w:val="00F93DFC"/>
    <w:rsid w:val="00F94D02"/>
    <w:rsid w:val="00F96018"/>
    <w:rsid w:val="00FA092B"/>
    <w:rsid w:val="00FB7E45"/>
    <w:rsid w:val="00FD01F2"/>
    <w:rsid w:val="00FE46CF"/>
    <w:rsid w:val="00FF577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2F"/>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232F"/>
    <w:pPr>
      <w:spacing w:after="0" w:line="240" w:lineRule="auto"/>
    </w:pPr>
    <w:rPr>
      <w:rFonts w:ascii="Times New Roman" w:eastAsia="MS Mincho" w:hAnsi="Times New Roman" w:cs="Times New Roman"/>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8517C5"/>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8517C5"/>
    <w:rPr>
      <w:rFonts w:ascii="Arial" w:eastAsia="MS Gothic" w:hAnsi="Arial" w:cs="Times New Roman"/>
      <w:color w:val="000000"/>
      <w:szCs w:val="20"/>
      <w:lang w:val="x-none" w:bidi="ar-SA"/>
    </w:rPr>
  </w:style>
  <w:style w:type="paragraph" w:customStyle="1" w:styleId="Body">
    <w:name w:val="Body"/>
    <w:link w:val="BodyChar"/>
    <w:rsid w:val="00A1232F"/>
    <w:pPr>
      <w:keepLines/>
      <w:spacing w:after="100" w:line="220" w:lineRule="exact"/>
    </w:pPr>
    <w:rPr>
      <w:rFonts w:ascii="Arial" w:eastAsia="Times New Roman" w:hAnsi="Arial" w:cs="Times New Roman"/>
      <w:sz w:val="18"/>
      <w:szCs w:val="18"/>
    </w:rPr>
  </w:style>
  <w:style w:type="character" w:customStyle="1" w:styleId="BodyChar">
    <w:name w:val="Body Char"/>
    <w:link w:val="Body"/>
    <w:rsid w:val="00A1232F"/>
    <w:rPr>
      <w:rFonts w:ascii="Arial" w:eastAsia="Times New Roman" w:hAnsi="Arial" w:cs="Times New Roman"/>
      <w:sz w:val="18"/>
      <w:szCs w:val="18"/>
    </w:rPr>
  </w:style>
  <w:style w:type="character" w:customStyle="1" w:styleId="CaptionChar">
    <w:name w:val="Caption Char"/>
    <w:aliases w:val="cap Char"/>
    <w:link w:val="Caption"/>
    <w:rsid w:val="00A1232F"/>
    <w:rPr>
      <w:rFonts w:ascii="Times New Roman" w:eastAsia="MS Mincho" w:hAnsi="Times New Roman" w:cs="Times New Roman"/>
      <w:b/>
      <w:bCs/>
      <w:color w:val="4F81BD" w:themeColor="accent1"/>
      <w:sz w:val="18"/>
      <w:szCs w:val="1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32F"/>
    <w:pPr>
      <w:spacing w:after="180" w:line="240" w:lineRule="auto"/>
    </w:pPr>
    <w:rPr>
      <w:rFonts w:ascii="Times New Roman" w:eastAsia="MS Mincho" w:hAnsi="Times New Roman" w:cs="Times New Roman"/>
      <w:szCs w:val="20"/>
      <w:lang w:bidi="ar-SA"/>
    </w:rPr>
  </w:style>
  <w:style w:type="paragraph" w:styleId="Heading1">
    <w:name w:val="heading 1"/>
    <w:basedOn w:val="Normal"/>
    <w:next w:val="Normal"/>
    <w:link w:val="Heading1Char"/>
    <w:uiPriority w:val="9"/>
    <w:qFormat/>
    <w:rsid w:val="00A764A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20062"/>
    <w:pPr>
      <w:widowControl w:val="0"/>
      <w:spacing w:after="0" w:line="240" w:lineRule="auto"/>
    </w:pPr>
    <w:rPr>
      <w:rFonts w:ascii="Arial" w:eastAsia="MS Mincho" w:hAnsi="Arial" w:cs="Times New Roman"/>
      <w:b/>
      <w:noProof/>
      <w:sz w:val="18"/>
      <w:szCs w:val="20"/>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20062"/>
    <w:rPr>
      <w:rFonts w:ascii="Arial" w:eastAsia="MS Mincho" w:hAnsi="Arial" w:cs="Times New Roman"/>
      <w:b/>
      <w:noProof/>
      <w:sz w:val="18"/>
      <w:szCs w:val="20"/>
      <w:lang w:val="en-GB" w:bidi="ar-SA"/>
    </w:rPr>
  </w:style>
  <w:style w:type="character" w:customStyle="1" w:styleId="Heading1Char">
    <w:name w:val="Heading 1 Char"/>
    <w:basedOn w:val="DefaultParagraphFont"/>
    <w:link w:val="Heading1"/>
    <w:uiPriority w:val="9"/>
    <w:rsid w:val="00A764AC"/>
    <w:rPr>
      <w:rFonts w:asciiTheme="majorHAnsi" w:eastAsiaTheme="majorEastAsia" w:hAnsiTheme="majorHAnsi" w:cstheme="majorBidi"/>
      <w:b/>
      <w:bCs/>
      <w:color w:val="365F91" w:themeColor="accent1" w:themeShade="BF"/>
      <w:sz w:val="28"/>
      <w:szCs w:val="28"/>
      <w:lang w:bidi="ar-SA"/>
    </w:rPr>
  </w:style>
  <w:style w:type="paragraph" w:styleId="ListParagraph">
    <w:name w:val="List Paragraph"/>
    <w:basedOn w:val="Normal"/>
    <w:uiPriority w:val="34"/>
    <w:qFormat/>
    <w:rsid w:val="00EE44C9"/>
    <w:pPr>
      <w:ind w:left="720"/>
      <w:contextualSpacing/>
    </w:pPr>
  </w:style>
  <w:style w:type="paragraph" w:styleId="Caption">
    <w:name w:val="caption"/>
    <w:aliases w:val="cap"/>
    <w:basedOn w:val="Normal"/>
    <w:next w:val="Normal"/>
    <w:link w:val="CaptionChar"/>
    <w:unhideWhenUsed/>
    <w:qFormat/>
    <w:rsid w:val="00550070"/>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8745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4517"/>
    <w:rPr>
      <w:rFonts w:ascii="Tahoma" w:eastAsia="MS Mincho" w:hAnsi="Tahoma" w:cs="Tahoma"/>
      <w:sz w:val="16"/>
      <w:szCs w:val="16"/>
      <w:lang w:bidi="ar-SA"/>
    </w:rPr>
  </w:style>
  <w:style w:type="table" w:styleId="TableGrid">
    <w:name w:val="Table Grid"/>
    <w:basedOn w:val="TableNormal"/>
    <w:rsid w:val="00F1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232F"/>
    <w:pPr>
      <w:spacing w:after="0" w:line="240" w:lineRule="auto"/>
    </w:pPr>
    <w:rPr>
      <w:rFonts w:ascii="Times New Roman" w:eastAsia="MS Mincho" w:hAnsi="Times New Roman" w:cs="Times New Roman"/>
      <w:szCs w:val="20"/>
      <w:lang w:bidi="ar-SA"/>
    </w:rPr>
  </w:style>
  <w:style w:type="paragraph" w:customStyle="1" w:styleId="references">
    <w:name w:val="references"/>
    <w:uiPriority w:val="99"/>
    <w:rsid w:val="00213954"/>
    <w:pPr>
      <w:numPr>
        <w:numId w:val="10"/>
      </w:numPr>
      <w:spacing w:after="50" w:line="180" w:lineRule="exact"/>
      <w:jc w:val="both"/>
    </w:pPr>
    <w:rPr>
      <w:rFonts w:ascii="Times New Roman" w:eastAsia="MS Mincho" w:hAnsi="Times New Roman" w:cs="Times New Roman"/>
      <w:noProof/>
      <w:sz w:val="20"/>
      <w:szCs w:val="16"/>
      <w:lang w:bidi="ar-SA"/>
    </w:rPr>
  </w:style>
  <w:style w:type="paragraph" w:styleId="BodyText">
    <w:name w:val="Body Text"/>
    <w:basedOn w:val="Normal"/>
    <w:link w:val="BodyTextChar"/>
    <w:rsid w:val="007C0B03"/>
    <w:pPr>
      <w:spacing w:after="160"/>
      <w:jc w:val="both"/>
    </w:pPr>
    <w:rPr>
      <w:rFonts w:eastAsia="Times New Roman"/>
      <w:sz w:val="24"/>
      <w:szCs w:val="24"/>
      <w:lang w:bidi="he-IL"/>
    </w:rPr>
  </w:style>
  <w:style w:type="character" w:customStyle="1" w:styleId="BodyTextChar">
    <w:name w:val="Body Text Char"/>
    <w:basedOn w:val="DefaultParagraphFont"/>
    <w:link w:val="BodyText"/>
    <w:rsid w:val="007C0B03"/>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8517C5"/>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8517C5"/>
    <w:rPr>
      <w:rFonts w:ascii="Arial" w:eastAsia="MS Gothic" w:hAnsi="Arial" w:cs="Times New Roman"/>
      <w:color w:val="000000"/>
      <w:szCs w:val="20"/>
      <w:lang w:val="x-none" w:bidi="ar-SA"/>
    </w:rPr>
  </w:style>
  <w:style w:type="paragraph" w:customStyle="1" w:styleId="Body">
    <w:name w:val="Body"/>
    <w:link w:val="BodyChar"/>
    <w:rsid w:val="00A1232F"/>
    <w:pPr>
      <w:keepLines/>
      <w:spacing w:after="100" w:line="220" w:lineRule="exact"/>
    </w:pPr>
    <w:rPr>
      <w:rFonts w:ascii="Arial" w:eastAsia="Times New Roman" w:hAnsi="Arial" w:cs="Times New Roman"/>
      <w:sz w:val="18"/>
      <w:szCs w:val="18"/>
    </w:rPr>
  </w:style>
  <w:style w:type="character" w:customStyle="1" w:styleId="BodyChar">
    <w:name w:val="Body Char"/>
    <w:link w:val="Body"/>
    <w:rsid w:val="00A1232F"/>
    <w:rPr>
      <w:rFonts w:ascii="Arial" w:eastAsia="Times New Roman" w:hAnsi="Arial" w:cs="Times New Roman"/>
      <w:sz w:val="18"/>
      <w:szCs w:val="18"/>
    </w:rPr>
  </w:style>
  <w:style w:type="character" w:customStyle="1" w:styleId="CaptionChar">
    <w:name w:val="Caption Char"/>
    <w:aliases w:val="cap Char"/>
    <w:link w:val="Caption"/>
    <w:rsid w:val="00A1232F"/>
    <w:rPr>
      <w:rFonts w:ascii="Times New Roman" w:eastAsia="MS Mincho" w:hAnsi="Times New Roman" w:cs="Times New Roman"/>
      <w:b/>
      <w:bCs/>
      <w:color w:val="4F81BD" w:themeColor="accent1"/>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04757">
      <w:bodyDiv w:val="1"/>
      <w:marLeft w:val="0"/>
      <w:marRight w:val="0"/>
      <w:marTop w:val="0"/>
      <w:marBottom w:val="0"/>
      <w:divBdr>
        <w:top w:val="none" w:sz="0" w:space="0" w:color="auto"/>
        <w:left w:val="none" w:sz="0" w:space="0" w:color="auto"/>
        <w:bottom w:val="none" w:sz="0" w:space="0" w:color="auto"/>
        <w:right w:val="none" w:sz="0" w:space="0" w:color="auto"/>
      </w:divBdr>
    </w:div>
    <w:div w:id="948245457">
      <w:bodyDiv w:val="1"/>
      <w:marLeft w:val="0"/>
      <w:marRight w:val="0"/>
      <w:marTop w:val="0"/>
      <w:marBottom w:val="0"/>
      <w:divBdr>
        <w:top w:val="none" w:sz="0" w:space="0" w:color="auto"/>
        <w:left w:val="none" w:sz="0" w:space="0" w:color="auto"/>
        <w:bottom w:val="none" w:sz="0" w:space="0" w:color="auto"/>
        <w:right w:val="none" w:sz="0" w:space="0" w:color="auto"/>
      </w:divBdr>
    </w:div>
    <w:div w:id="95965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4FF95-82C4-41E1-95C3-EE9C35BB1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Marvell Semiconductor Ltd.</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Shimon Moshavi</dc:creator>
  <cp:lastModifiedBy>Shimon Moshavi</cp:lastModifiedBy>
  <cp:revision>4</cp:revision>
  <cp:lastPrinted>2015-08-06T16:04:00Z</cp:lastPrinted>
  <dcterms:created xsi:type="dcterms:W3CDTF">2015-08-13T09:46:00Z</dcterms:created>
  <dcterms:modified xsi:type="dcterms:W3CDTF">2015-08-13T16:10:00Z</dcterms:modified>
</cp:coreProperties>
</file>